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5D19" w14:textId="77777777" w:rsidR="00FB4388" w:rsidRPr="00FB4388" w:rsidRDefault="00FB4388" w:rsidP="00FB43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2C0402" wp14:editId="1CA2BCCF">
            <wp:simplePos x="0" y="0"/>
            <wp:positionH relativeFrom="column">
              <wp:posOffset>3169285</wp:posOffset>
            </wp:positionH>
            <wp:positionV relativeFrom="paragraph">
              <wp:posOffset>116840</wp:posOffset>
            </wp:positionV>
            <wp:extent cx="2516505" cy="517525"/>
            <wp:effectExtent l="0" t="0" r="0" b="0"/>
            <wp:wrapTight wrapText="bothSides">
              <wp:wrapPolygon edited="0">
                <wp:start x="1090" y="0"/>
                <wp:lineTo x="0" y="3180"/>
                <wp:lineTo x="0" y="18022"/>
                <wp:lineTo x="1090" y="20142"/>
                <wp:lineTo x="3488" y="20142"/>
                <wp:lineTo x="21366" y="18022"/>
                <wp:lineTo x="21366" y="2120"/>
                <wp:lineTo x="3270" y="0"/>
                <wp:lineTo x="109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C72E4CB" wp14:editId="0EC02A86">
            <wp:extent cx="2210763" cy="6968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O Logo_Blue_-EN-C-H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93" cy="70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C5389" w14:textId="77777777" w:rsidR="00FB4388" w:rsidRDefault="00FB4388" w:rsidP="00FB4388">
      <w:pPr>
        <w:pStyle w:val="PagesHeading"/>
        <w:numPr>
          <w:ilvl w:val="0"/>
          <w:numId w:val="0"/>
        </w:numPr>
        <w:rPr>
          <w:color w:val="002D64" w:themeColor="text2"/>
        </w:rPr>
      </w:pPr>
    </w:p>
    <w:p w14:paraId="11DD853D" w14:textId="77777777" w:rsidR="00FB4388" w:rsidRPr="00FB4388" w:rsidRDefault="00FB4388" w:rsidP="00FB4388">
      <w:pPr>
        <w:pStyle w:val="PagesHeading"/>
        <w:numPr>
          <w:ilvl w:val="0"/>
          <w:numId w:val="0"/>
        </w:numPr>
        <w:rPr>
          <w:color w:val="002D64" w:themeColor="text2"/>
        </w:rPr>
      </w:pPr>
      <w:r w:rsidRPr="00FB4388">
        <w:rPr>
          <w:color w:val="002D64" w:themeColor="text2"/>
        </w:rPr>
        <w:t>Draft Agenda Cochrane-WHO Strategic Partnership Meeting</w:t>
      </w:r>
    </w:p>
    <w:p w14:paraId="7A4D4029" w14:textId="77777777" w:rsidR="00FB4388" w:rsidRDefault="00FB4388" w:rsidP="00FB4388">
      <w:pPr>
        <w:rPr>
          <w:b/>
        </w:rPr>
      </w:pPr>
    </w:p>
    <w:p w14:paraId="00A35E48" w14:textId="7A702C4B" w:rsidR="00FB4388" w:rsidRPr="00EA148F" w:rsidRDefault="00FB4388" w:rsidP="00FB4388">
      <w:pPr>
        <w:pStyle w:val="PagesSubheading"/>
        <w:numPr>
          <w:ilvl w:val="0"/>
          <w:numId w:val="0"/>
        </w:numPr>
      </w:pPr>
      <w:r>
        <w:t xml:space="preserve">Date: </w:t>
      </w:r>
      <w:r w:rsidR="00DC2227">
        <w:t xml:space="preserve">Monday 3 April </w:t>
      </w:r>
      <w:r w:rsidRPr="00EA148F">
        <w:t>, 2017</w:t>
      </w:r>
    </w:p>
    <w:p w14:paraId="1664AD86" w14:textId="77777777" w:rsidR="00FB4388" w:rsidRPr="00EA148F" w:rsidRDefault="00FB4388" w:rsidP="00FB4388">
      <w:pPr>
        <w:pStyle w:val="PagesSubheading"/>
        <w:numPr>
          <w:ilvl w:val="0"/>
          <w:numId w:val="0"/>
        </w:numPr>
      </w:pPr>
      <w:r>
        <w:t xml:space="preserve">Time: </w:t>
      </w:r>
      <w:r w:rsidRPr="00EA148F">
        <w:t>13:30 – 17:00</w:t>
      </w:r>
    </w:p>
    <w:p w14:paraId="2F61BE74" w14:textId="77777777" w:rsidR="00FB4388" w:rsidRPr="00EA148F" w:rsidRDefault="00FB4388" w:rsidP="00FB4388">
      <w:pPr>
        <w:pStyle w:val="PagesSubheading"/>
        <w:numPr>
          <w:ilvl w:val="0"/>
          <w:numId w:val="0"/>
        </w:numPr>
      </w:pPr>
      <w:r>
        <w:t xml:space="preserve">Venue: </w:t>
      </w:r>
      <w:r w:rsidRPr="00EA148F">
        <w:t>Salle A</w:t>
      </w:r>
      <w:r>
        <w:t>, WHO HQ</w:t>
      </w:r>
    </w:p>
    <w:p w14:paraId="53D44623" w14:textId="77777777" w:rsidR="00FB4388" w:rsidRDefault="00FB4388" w:rsidP="00FB4388">
      <w:pPr>
        <w:rPr>
          <w:b/>
        </w:rPr>
      </w:pPr>
    </w:p>
    <w:p w14:paraId="130DC8A9" w14:textId="77777777" w:rsidR="00482BE3" w:rsidRDefault="00482BE3" w:rsidP="00FB4388">
      <w:pPr>
        <w:rPr>
          <w:b/>
        </w:rPr>
      </w:pPr>
    </w:p>
    <w:p w14:paraId="12D7BAF0" w14:textId="5D35C60E" w:rsidR="00482BE3" w:rsidRDefault="001504BE" w:rsidP="00FB4388">
      <w:pPr>
        <w:rPr>
          <w:rFonts w:ascii="Source Sans Pro" w:hAnsi="Source Sans Pro"/>
          <w:b/>
          <w:color w:val="002060"/>
          <w:sz w:val="22"/>
          <w:szCs w:val="22"/>
        </w:rPr>
      </w:pPr>
      <w:r w:rsidRPr="00482BE3">
        <w:rPr>
          <w:rFonts w:ascii="Source Sans Pro" w:hAnsi="Source Sans Pro"/>
          <w:b/>
          <w:color w:val="002060"/>
          <w:sz w:val="22"/>
          <w:szCs w:val="22"/>
        </w:rPr>
        <w:t>Background:</w:t>
      </w:r>
    </w:p>
    <w:p w14:paraId="72FBF1EE" w14:textId="77777777" w:rsidR="00482BE3" w:rsidRPr="00482BE3" w:rsidRDefault="00482BE3" w:rsidP="00FB4388">
      <w:pPr>
        <w:rPr>
          <w:rFonts w:ascii="Source Sans Pro" w:hAnsi="Source Sans Pro"/>
          <w:b/>
          <w:color w:val="002060"/>
          <w:sz w:val="22"/>
          <w:szCs w:val="22"/>
        </w:rPr>
      </w:pPr>
    </w:p>
    <w:p w14:paraId="462850E8" w14:textId="75542EE7" w:rsidR="001504BE" w:rsidRPr="00482BE3" w:rsidRDefault="001504BE" w:rsidP="00482BE3">
      <w:pPr>
        <w:pStyle w:val="p1"/>
        <w:rPr>
          <w:rFonts w:ascii="Source Sans Pro" w:hAnsi="Source Sans Pro"/>
          <w:sz w:val="22"/>
          <w:szCs w:val="22"/>
        </w:rPr>
      </w:pPr>
      <w:r w:rsidRPr="00482BE3">
        <w:rPr>
          <w:rFonts w:ascii="Source Sans Pro" w:hAnsi="Source Sans Pro" w:cs="Arial"/>
          <w:sz w:val="22"/>
          <w:szCs w:val="22"/>
        </w:rPr>
        <w:t xml:space="preserve">Cochrane has been in official relations with the WHO since 2011. This collaboration includes the right to appoint a representative to participate, without vote, in WHO’s meetings, including at the World Health Assembly, the WHO’s decision-making body, allowing </w:t>
      </w:r>
      <w:r w:rsidR="00482BE3" w:rsidRPr="00482BE3">
        <w:rPr>
          <w:rFonts w:ascii="Source Sans Pro" w:hAnsi="Source Sans Pro" w:cs="Arial"/>
          <w:sz w:val="22"/>
          <w:szCs w:val="22"/>
        </w:rPr>
        <w:t>Cochrane</w:t>
      </w:r>
      <w:r w:rsidRPr="00482BE3">
        <w:rPr>
          <w:rFonts w:ascii="Source Sans Pro" w:hAnsi="Source Sans Pro" w:cs="Arial"/>
          <w:sz w:val="22"/>
          <w:szCs w:val="22"/>
        </w:rPr>
        <w:t xml:space="preserve"> to make expository statements on WHO health resolutions. </w:t>
      </w:r>
      <w:r w:rsidR="003E608C" w:rsidRPr="003E608C">
        <w:rPr>
          <w:rFonts w:ascii="Source Sans Pro" w:hAnsi="Source Sans Pro"/>
          <w:sz w:val="22"/>
          <w:szCs w:val="22"/>
        </w:rPr>
        <w:t xml:space="preserve">This relationship gives </w:t>
      </w:r>
      <w:r w:rsidR="003E608C">
        <w:rPr>
          <w:rFonts w:ascii="Source Sans Pro" w:hAnsi="Source Sans Pro"/>
          <w:sz w:val="22"/>
          <w:szCs w:val="22"/>
        </w:rPr>
        <w:t>Cochrane</w:t>
      </w:r>
      <w:r w:rsidR="003E608C" w:rsidRPr="003E608C">
        <w:rPr>
          <w:rFonts w:ascii="Source Sans Pro" w:hAnsi="Source Sans Pro"/>
          <w:sz w:val="22"/>
          <w:szCs w:val="22"/>
        </w:rPr>
        <w:t xml:space="preserve"> the opportunity to provide input on the way research evidence is identified, synthe</w:t>
      </w:r>
      <w:r w:rsidR="003E608C">
        <w:rPr>
          <w:rFonts w:ascii="Source Sans Pro" w:hAnsi="Source Sans Pro"/>
          <w:sz w:val="22"/>
          <w:szCs w:val="22"/>
        </w:rPr>
        <w:t>sized, assessed and used by WHO, and it allows WHO to input on research synthesis priorities.</w:t>
      </w:r>
      <w:r w:rsidR="003E608C" w:rsidRPr="003E608C">
        <w:rPr>
          <w:rFonts w:ascii="Source Sans Pro" w:hAnsi="Source Sans Pro"/>
          <w:sz w:val="22"/>
          <w:szCs w:val="22"/>
        </w:rPr>
        <w:t xml:space="preserve"> In addition, </w:t>
      </w:r>
      <w:r w:rsidR="003E608C">
        <w:rPr>
          <w:rFonts w:ascii="Source Sans Pro" w:hAnsi="Source Sans Pro"/>
          <w:sz w:val="22"/>
          <w:szCs w:val="22"/>
        </w:rPr>
        <w:t xml:space="preserve">Cochrane </w:t>
      </w:r>
      <w:r w:rsidR="003E608C" w:rsidRPr="003E608C">
        <w:rPr>
          <w:rFonts w:ascii="Source Sans Pro" w:hAnsi="Source Sans Pro"/>
          <w:sz w:val="22"/>
          <w:szCs w:val="22"/>
        </w:rPr>
        <w:t>provide</w:t>
      </w:r>
      <w:r w:rsidR="003E608C">
        <w:rPr>
          <w:rFonts w:ascii="Source Sans Pro" w:hAnsi="Source Sans Pro"/>
          <w:sz w:val="22"/>
          <w:szCs w:val="22"/>
        </w:rPr>
        <w:t>s</w:t>
      </w:r>
      <w:r w:rsidR="003E608C" w:rsidRPr="003E608C">
        <w:rPr>
          <w:rFonts w:ascii="Source Sans Pro" w:hAnsi="Source Sans Pro"/>
          <w:sz w:val="22"/>
          <w:szCs w:val="22"/>
        </w:rPr>
        <w:t xml:space="preserve"> reliable summaries of health information which can be used to inform recommendations and policies.</w:t>
      </w:r>
      <w:r w:rsidR="003E608C">
        <w:rPr>
          <w:rFonts w:ascii="Source Sans Pro" w:hAnsi="Source Sans Pro"/>
          <w:sz w:val="22"/>
          <w:szCs w:val="22"/>
        </w:rPr>
        <w:t xml:space="preserve"> </w:t>
      </w:r>
      <w:r w:rsidR="00EC39E4">
        <w:rPr>
          <w:rFonts w:ascii="Source Sans Pro" w:hAnsi="Source Sans Pro"/>
          <w:sz w:val="22"/>
          <w:szCs w:val="22"/>
        </w:rPr>
        <w:t xml:space="preserve">The partnership </w:t>
      </w:r>
      <w:r w:rsidR="00482BE3" w:rsidRPr="00482BE3">
        <w:rPr>
          <w:rFonts w:ascii="Source Sans Pro" w:hAnsi="Source Sans Pro"/>
          <w:sz w:val="22"/>
          <w:szCs w:val="22"/>
        </w:rPr>
        <w:t>promotes inter</w:t>
      </w:r>
      <w:r w:rsidR="00EC39E4">
        <w:rPr>
          <w:rFonts w:ascii="Source Sans Pro" w:hAnsi="Source Sans Pro"/>
          <w:sz w:val="22"/>
          <w:szCs w:val="22"/>
        </w:rPr>
        <w:t>-</w:t>
      </w:r>
      <w:r w:rsidR="00482BE3" w:rsidRPr="00482BE3">
        <w:rPr>
          <w:rFonts w:ascii="Source Sans Pro" w:hAnsi="Source Sans Pro"/>
          <w:sz w:val="22"/>
          <w:szCs w:val="22"/>
        </w:rPr>
        <w:t xml:space="preserve">sectoral collaboration and high-quality research between </w:t>
      </w:r>
      <w:r w:rsidR="003E608C">
        <w:rPr>
          <w:rFonts w:ascii="Source Sans Pro" w:hAnsi="Source Sans Pro"/>
          <w:sz w:val="22"/>
          <w:szCs w:val="22"/>
        </w:rPr>
        <w:t>the</w:t>
      </w:r>
      <w:r w:rsidR="00482BE3" w:rsidRPr="00482BE3">
        <w:rPr>
          <w:rFonts w:ascii="Source Sans Pro" w:hAnsi="Source Sans Pro"/>
          <w:sz w:val="22"/>
          <w:szCs w:val="22"/>
        </w:rPr>
        <w:t xml:space="preserve"> two organizations to produce the necessary evidence to ensure policies in all sectors contribute to improving health and health equity.</w:t>
      </w:r>
    </w:p>
    <w:p w14:paraId="792B3DDC" w14:textId="77777777" w:rsidR="00482BE3" w:rsidRPr="00482BE3" w:rsidRDefault="00482BE3" w:rsidP="00FB4388">
      <w:pPr>
        <w:rPr>
          <w:b/>
          <w:sz w:val="22"/>
          <w:szCs w:val="22"/>
        </w:rPr>
      </w:pPr>
    </w:p>
    <w:p w14:paraId="0AF1155D" w14:textId="3D78C54C" w:rsidR="00482BE3" w:rsidRDefault="00FB4388" w:rsidP="00FB4388">
      <w:pPr>
        <w:pStyle w:val="PagesSubheading"/>
        <w:numPr>
          <w:ilvl w:val="0"/>
          <w:numId w:val="0"/>
        </w:numPr>
        <w:rPr>
          <w:sz w:val="22"/>
          <w:szCs w:val="22"/>
          <w:lang w:val="en-GB"/>
        </w:rPr>
      </w:pPr>
      <w:r w:rsidRPr="00482BE3">
        <w:rPr>
          <w:sz w:val="22"/>
          <w:szCs w:val="22"/>
          <w:lang w:val="en-GB"/>
        </w:rPr>
        <w:t>Meeting objectives:</w:t>
      </w:r>
    </w:p>
    <w:p w14:paraId="467D386A" w14:textId="77777777" w:rsidR="00482BE3" w:rsidRPr="00482BE3" w:rsidRDefault="00482BE3" w:rsidP="00FB4388">
      <w:pPr>
        <w:pStyle w:val="PagesSubheading"/>
        <w:numPr>
          <w:ilvl w:val="0"/>
          <w:numId w:val="0"/>
        </w:numPr>
        <w:rPr>
          <w:sz w:val="22"/>
          <w:szCs w:val="22"/>
          <w:lang w:val="en-GB"/>
        </w:rPr>
      </w:pPr>
    </w:p>
    <w:p w14:paraId="65BB9ED7" w14:textId="77777777" w:rsidR="00FB4388" w:rsidRPr="00482BE3" w:rsidRDefault="00FB4388" w:rsidP="00FB4388">
      <w:pPr>
        <w:pStyle w:val="PagesBodytext"/>
        <w:numPr>
          <w:ilvl w:val="0"/>
          <w:numId w:val="30"/>
        </w:numPr>
        <w:rPr>
          <w:rFonts w:cs="Times New Roman"/>
          <w:sz w:val="22"/>
          <w:szCs w:val="22"/>
        </w:rPr>
      </w:pPr>
      <w:r w:rsidRPr="00482BE3">
        <w:rPr>
          <w:sz w:val="22"/>
          <w:szCs w:val="22"/>
        </w:rPr>
        <w:t>To familiarize participants with the Cochrane-WHO plan of work.</w:t>
      </w:r>
    </w:p>
    <w:p w14:paraId="69C990D2" w14:textId="77777777" w:rsidR="00FB4388" w:rsidRPr="00482BE3" w:rsidRDefault="00FB4388" w:rsidP="00FB4388">
      <w:pPr>
        <w:pStyle w:val="PagesBodytext"/>
        <w:numPr>
          <w:ilvl w:val="0"/>
          <w:numId w:val="30"/>
        </w:numPr>
        <w:rPr>
          <w:rFonts w:cs="Times New Roman"/>
          <w:sz w:val="22"/>
          <w:szCs w:val="22"/>
        </w:rPr>
      </w:pPr>
      <w:r w:rsidRPr="00482BE3">
        <w:rPr>
          <w:sz w:val="22"/>
          <w:szCs w:val="22"/>
        </w:rPr>
        <w:t>To familiarize Cochrane contributors with WHO’s strategic priorities, evidence needs and political processes;</w:t>
      </w:r>
    </w:p>
    <w:p w14:paraId="5D70B795" w14:textId="13B593CC" w:rsidR="00FB4388" w:rsidRPr="00482BE3" w:rsidRDefault="00FB4388" w:rsidP="00482BE3">
      <w:pPr>
        <w:pStyle w:val="PagesBodytext"/>
        <w:numPr>
          <w:ilvl w:val="0"/>
          <w:numId w:val="30"/>
        </w:numPr>
        <w:rPr>
          <w:rFonts w:cs="Times New Roman"/>
          <w:sz w:val="22"/>
          <w:szCs w:val="22"/>
        </w:rPr>
      </w:pPr>
      <w:r w:rsidRPr="00482BE3">
        <w:rPr>
          <w:sz w:val="22"/>
          <w:szCs w:val="22"/>
        </w:rPr>
        <w:t xml:space="preserve">To consider how better to align Cochrane procedures to WHO’s </w:t>
      </w:r>
      <w:r w:rsidR="00197D45">
        <w:rPr>
          <w:sz w:val="22"/>
          <w:szCs w:val="22"/>
        </w:rPr>
        <w:t xml:space="preserve">processes and </w:t>
      </w:r>
      <w:r w:rsidRPr="00482BE3">
        <w:rPr>
          <w:sz w:val="22"/>
          <w:szCs w:val="22"/>
        </w:rPr>
        <w:t>knowledge needs.</w:t>
      </w:r>
    </w:p>
    <w:p w14:paraId="5DCD4EC0" w14:textId="77777777" w:rsidR="00482BE3" w:rsidRPr="00482BE3" w:rsidRDefault="00482BE3" w:rsidP="00FB4388">
      <w:pPr>
        <w:pStyle w:val="PagesSubheading"/>
        <w:numPr>
          <w:ilvl w:val="0"/>
          <w:numId w:val="0"/>
        </w:numPr>
        <w:rPr>
          <w:sz w:val="22"/>
          <w:szCs w:val="22"/>
        </w:rPr>
      </w:pPr>
    </w:p>
    <w:p w14:paraId="483FA6B8" w14:textId="77777777" w:rsidR="00FB4388" w:rsidRDefault="00FB4388" w:rsidP="00FB4388">
      <w:pPr>
        <w:pStyle w:val="PagesSubheading"/>
        <w:numPr>
          <w:ilvl w:val="0"/>
          <w:numId w:val="0"/>
        </w:numPr>
        <w:rPr>
          <w:sz w:val="22"/>
          <w:szCs w:val="22"/>
        </w:rPr>
      </w:pPr>
      <w:r w:rsidRPr="00482BE3">
        <w:rPr>
          <w:sz w:val="22"/>
          <w:szCs w:val="22"/>
        </w:rPr>
        <w:t>Expected outputs:</w:t>
      </w:r>
    </w:p>
    <w:p w14:paraId="4CEA0536" w14:textId="77777777" w:rsidR="00482BE3" w:rsidRPr="00482BE3" w:rsidRDefault="00482BE3" w:rsidP="00FB4388">
      <w:pPr>
        <w:pStyle w:val="PagesSubheading"/>
        <w:numPr>
          <w:ilvl w:val="0"/>
          <w:numId w:val="0"/>
        </w:numPr>
        <w:rPr>
          <w:rFonts w:cs="Times New Roman"/>
          <w:sz w:val="22"/>
          <w:szCs w:val="22"/>
        </w:rPr>
      </w:pPr>
    </w:p>
    <w:p w14:paraId="4CEBC7A5" w14:textId="77777777" w:rsidR="00FB4388" w:rsidRPr="00482BE3" w:rsidRDefault="00FB4388" w:rsidP="00FB4388">
      <w:pPr>
        <w:pStyle w:val="PagesBodytext"/>
        <w:numPr>
          <w:ilvl w:val="0"/>
          <w:numId w:val="31"/>
        </w:numPr>
        <w:rPr>
          <w:rFonts w:cs="Calibri"/>
          <w:sz w:val="22"/>
          <w:szCs w:val="22"/>
        </w:rPr>
      </w:pPr>
      <w:r w:rsidRPr="00482BE3">
        <w:rPr>
          <w:sz w:val="22"/>
          <w:szCs w:val="22"/>
        </w:rPr>
        <w:t>Improved mutual understanding of institutional procedures and processes;</w:t>
      </w:r>
    </w:p>
    <w:p w14:paraId="0C56E6E0" w14:textId="77777777" w:rsidR="00FB4388" w:rsidRPr="00482BE3" w:rsidRDefault="00FB4388" w:rsidP="00FB4388">
      <w:pPr>
        <w:pStyle w:val="PagesBodytext"/>
        <w:numPr>
          <w:ilvl w:val="0"/>
          <w:numId w:val="31"/>
        </w:numPr>
        <w:rPr>
          <w:sz w:val="22"/>
          <w:szCs w:val="22"/>
          <w:lang w:val="en-GB"/>
        </w:rPr>
      </w:pPr>
      <w:r w:rsidRPr="00482BE3">
        <w:rPr>
          <w:sz w:val="22"/>
          <w:szCs w:val="22"/>
        </w:rPr>
        <w:t>Strategies for better aligning Cochrane’s work to WHO’s evidence needs.</w:t>
      </w:r>
    </w:p>
    <w:p w14:paraId="7CE3E25C" w14:textId="77777777" w:rsidR="00FB4388" w:rsidRPr="00482BE3" w:rsidRDefault="00FB4388" w:rsidP="00FB4388">
      <w:pPr>
        <w:rPr>
          <w:sz w:val="22"/>
          <w:szCs w:val="22"/>
        </w:rPr>
      </w:pPr>
    </w:p>
    <w:p w14:paraId="12E3852D" w14:textId="77777777" w:rsidR="00482BE3" w:rsidRPr="00482BE3" w:rsidRDefault="00482BE3">
      <w:pPr>
        <w:spacing w:after="200" w:line="276" w:lineRule="auto"/>
        <w:rPr>
          <w:rFonts w:asciiTheme="majorHAnsi" w:hAnsiTheme="majorHAnsi"/>
          <w:b/>
          <w:color w:val="002D64" w:themeColor="text2"/>
          <w:sz w:val="22"/>
          <w:szCs w:val="22"/>
          <w:lang w:val="en-GB"/>
        </w:rPr>
      </w:pPr>
      <w:r w:rsidRPr="00482BE3">
        <w:rPr>
          <w:sz w:val="22"/>
          <w:szCs w:val="22"/>
          <w:lang w:val="en-GB"/>
        </w:rPr>
        <w:br w:type="page"/>
      </w:r>
    </w:p>
    <w:p w14:paraId="4D6FCC19" w14:textId="1D052794" w:rsidR="00FB4388" w:rsidRPr="00482BE3" w:rsidRDefault="00FB4388" w:rsidP="00FB4388">
      <w:pPr>
        <w:pStyle w:val="PagesSubheading"/>
        <w:numPr>
          <w:ilvl w:val="0"/>
          <w:numId w:val="0"/>
        </w:numPr>
        <w:rPr>
          <w:sz w:val="22"/>
          <w:szCs w:val="22"/>
          <w:lang w:val="en-GB"/>
        </w:rPr>
      </w:pPr>
      <w:r w:rsidRPr="00482BE3">
        <w:rPr>
          <w:sz w:val="22"/>
          <w:szCs w:val="22"/>
          <w:lang w:val="en-GB"/>
        </w:rPr>
        <w:lastRenderedPageBreak/>
        <w:t xml:space="preserve">Meeting </w:t>
      </w:r>
      <w:r w:rsidR="00197D45">
        <w:rPr>
          <w:sz w:val="22"/>
          <w:szCs w:val="22"/>
          <w:lang w:val="en-GB"/>
        </w:rPr>
        <w:t>c</w:t>
      </w:r>
      <w:r w:rsidRPr="00482BE3">
        <w:rPr>
          <w:sz w:val="22"/>
          <w:szCs w:val="22"/>
          <w:lang w:val="en-GB"/>
        </w:rPr>
        <w:t xml:space="preserve">o-chairs: </w:t>
      </w:r>
    </w:p>
    <w:p w14:paraId="54F5AB7B" w14:textId="77777777" w:rsidR="00FB4388" w:rsidRPr="004A7E2F" w:rsidRDefault="00FB4388" w:rsidP="00FB4388">
      <w:pPr>
        <w:pStyle w:val="PagesBodytext"/>
        <w:rPr>
          <w:lang w:val="en-GB"/>
        </w:rPr>
      </w:pPr>
      <w:r w:rsidRPr="00482BE3">
        <w:rPr>
          <w:sz w:val="22"/>
          <w:szCs w:val="22"/>
          <w:lang w:val="en-GB"/>
        </w:rPr>
        <w:t>Nathan Ford (Chair, Guidelines Review Committee, WHO) and David Tovey (Editor in Chief, Cochrane)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1"/>
        <w:gridCol w:w="1954"/>
        <w:gridCol w:w="2037"/>
        <w:gridCol w:w="4030"/>
      </w:tblGrid>
      <w:tr w:rsidR="00FB4388" w:rsidRPr="00EA148F" w14:paraId="0346AABD" w14:textId="77777777" w:rsidTr="00FB4388">
        <w:trPr>
          <w:trHeight w:val="419"/>
        </w:trPr>
        <w:tc>
          <w:tcPr>
            <w:tcW w:w="553" w:type="pct"/>
            <w:gridSpan w:val="2"/>
            <w:shd w:val="clear" w:color="auto" w:fill="ADD1FF" w:themeFill="accent1" w:themeFillTint="33"/>
          </w:tcPr>
          <w:p w14:paraId="6FC063B3" w14:textId="77777777" w:rsidR="00FB4388" w:rsidRPr="00DB53DA" w:rsidRDefault="00FB4388" w:rsidP="00860E42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DB53DA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13:30 </w:t>
            </w:r>
          </w:p>
        </w:tc>
        <w:tc>
          <w:tcPr>
            <w:tcW w:w="4447" w:type="pct"/>
            <w:gridSpan w:val="3"/>
            <w:shd w:val="clear" w:color="auto" w:fill="ADD1FF" w:themeFill="accent1" w:themeFillTint="33"/>
          </w:tcPr>
          <w:p w14:paraId="42BDB7F3" w14:textId="77777777" w:rsidR="00FB4388" w:rsidRPr="00EA148F" w:rsidRDefault="00FB4388" w:rsidP="00860E42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4A7E2F">
              <w:rPr>
                <w:rFonts w:cs="Times New Roman"/>
                <w:b/>
                <w:color w:val="000000" w:themeColor="text1"/>
                <w:sz w:val="22"/>
                <w:szCs w:val="22"/>
              </w:rPr>
              <w:t>WHO’s strategic priorities, evidence needs and political processes</w:t>
            </w:r>
          </w:p>
        </w:tc>
      </w:tr>
      <w:tr w:rsidR="00FB4388" w:rsidRPr="000E66E3" w14:paraId="02F587F0" w14:textId="77777777" w:rsidTr="00FB4388">
        <w:trPr>
          <w:trHeight w:val="466"/>
        </w:trPr>
        <w:tc>
          <w:tcPr>
            <w:tcW w:w="553" w:type="pct"/>
            <w:gridSpan w:val="2"/>
            <w:shd w:val="clear" w:color="auto" w:fill="auto"/>
          </w:tcPr>
          <w:p w14:paraId="4910D6BF" w14:textId="77777777" w:rsidR="00FB4388" w:rsidRPr="000E66E3" w:rsidRDefault="00FB4388" w:rsidP="00860E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</w:tcPr>
          <w:p w14:paraId="260B3F2C" w14:textId="77777777" w:rsidR="00FB4388" w:rsidRPr="000E66E3" w:rsidRDefault="00FB4388" w:rsidP="00860E4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Opening remarks</w:t>
            </w:r>
          </w:p>
        </w:tc>
        <w:tc>
          <w:tcPr>
            <w:tcW w:w="1129" w:type="pct"/>
          </w:tcPr>
          <w:p w14:paraId="1883470A" w14:textId="77777777" w:rsidR="00FB4388" w:rsidRDefault="00FB4388" w:rsidP="00860E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6" w:type="pct"/>
          </w:tcPr>
          <w:p w14:paraId="7F490C1E" w14:textId="77777777" w:rsidR="00FB4388" w:rsidRDefault="00FB4388" w:rsidP="00860E42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EA148F">
              <w:rPr>
                <w:color w:val="000000" w:themeColor="text1"/>
                <w:sz w:val="22"/>
                <w:szCs w:val="22"/>
                <w:lang w:val="en-GB"/>
              </w:rPr>
              <w:t xml:space="preserve">Nathan Ford </w:t>
            </w:r>
          </w:p>
          <w:p w14:paraId="3062D1A9" w14:textId="77777777" w:rsidR="00FB4388" w:rsidRPr="00752BBC" w:rsidRDefault="00FB4388" w:rsidP="00860E42">
            <w:pPr>
              <w:rPr>
                <w:i/>
                <w:color w:val="000000" w:themeColor="text1"/>
                <w:sz w:val="18"/>
                <w:szCs w:val="18"/>
                <w:lang w:val="en-GB"/>
              </w:rPr>
            </w:pPr>
            <w:r w:rsidRPr="00752BBC">
              <w:rPr>
                <w:i/>
                <w:color w:val="000000" w:themeColor="text1"/>
                <w:sz w:val="18"/>
                <w:szCs w:val="18"/>
                <w:lang w:val="en-GB"/>
              </w:rPr>
              <w:t>Chair, Guidelines Review Committee, WHO</w:t>
            </w:r>
          </w:p>
          <w:p w14:paraId="5A12167C" w14:textId="77777777" w:rsidR="00FB4388" w:rsidRPr="000E66E3" w:rsidRDefault="00FB4388" w:rsidP="00860E42">
            <w:pPr>
              <w:rPr>
                <w:sz w:val="22"/>
                <w:szCs w:val="22"/>
                <w:lang w:val="en-GB"/>
              </w:rPr>
            </w:pPr>
          </w:p>
        </w:tc>
      </w:tr>
      <w:tr w:rsidR="00FB4388" w:rsidRPr="000E66E3" w14:paraId="58F94092" w14:textId="77777777" w:rsidTr="00FB4388">
        <w:trPr>
          <w:trHeight w:val="466"/>
        </w:trPr>
        <w:tc>
          <w:tcPr>
            <w:tcW w:w="553" w:type="pct"/>
            <w:gridSpan w:val="2"/>
            <w:shd w:val="clear" w:color="auto" w:fill="auto"/>
          </w:tcPr>
          <w:p w14:paraId="206CC374" w14:textId="77777777" w:rsidR="00FB4388" w:rsidRPr="000E66E3" w:rsidRDefault="00FB4388" w:rsidP="00860E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11" w:type="pct"/>
            <w:gridSpan w:val="2"/>
            <w:shd w:val="clear" w:color="auto" w:fill="auto"/>
          </w:tcPr>
          <w:p w14:paraId="0792F4A4" w14:textId="77777777" w:rsidR="00FB4388" w:rsidRPr="000E66E3" w:rsidRDefault="00FB4388" w:rsidP="00860E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WHO’s role (and related evidence needs) in addressing global health priorities</w:t>
            </w:r>
            <w:r w:rsidRPr="000E66E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36" w:type="pct"/>
          </w:tcPr>
          <w:p w14:paraId="2BBFE43D" w14:textId="77777777" w:rsidR="00FB4388" w:rsidRDefault="00FB4388" w:rsidP="00860E42">
            <w:pPr>
              <w:rPr>
                <w:sz w:val="22"/>
                <w:szCs w:val="22"/>
                <w:lang w:val="en-GB"/>
              </w:rPr>
            </w:pPr>
            <w:r w:rsidRPr="000E66E3">
              <w:rPr>
                <w:sz w:val="22"/>
                <w:szCs w:val="22"/>
                <w:lang w:val="en-GB"/>
              </w:rPr>
              <w:t xml:space="preserve">Marie-Paule Kieny </w:t>
            </w:r>
          </w:p>
          <w:p w14:paraId="7BA3B586" w14:textId="77777777" w:rsidR="00FB4388" w:rsidRPr="00752BBC" w:rsidRDefault="00FB4388" w:rsidP="00860E42">
            <w:pPr>
              <w:rPr>
                <w:i/>
                <w:sz w:val="18"/>
                <w:szCs w:val="18"/>
                <w:lang w:val="en-GB"/>
              </w:rPr>
            </w:pPr>
            <w:r w:rsidRPr="00752BBC">
              <w:rPr>
                <w:i/>
                <w:sz w:val="18"/>
                <w:szCs w:val="18"/>
                <w:lang w:val="en-GB"/>
              </w:rPr>
              <w:t>Assistant Director-General, Health Systems and Innovation, WHO</w:t>
            </w:r>
          </w:p>
          <w:p w14:paraId="5277CCD1" w14:textId="77777777" w:rsidR="00FB4388" w:rsidRPr="000E66E3" w:rsidRDefault="00FB4388" w:rsidP="00860E42">
            <w:pPr>
              <w:rPr>
                <w:sz w:val="22"/>
                <w:szCs w:val="22"/>
                <w:lang w:val="en-GB"/>
              </w:rPr>
            </w:pPr>
          </w:p>
        </w:tc>
      </w:tr>
      <w:tr w:rsidR="00FB4388" w:rsidRPr="000E66E3" w14:paraId="6D0AAF09" w14:textId="77777777" w:rsidTr="00FB4388">
        <w:trPr>
          <w:trHeight w:val="702"/>
        </w:trPr>
        <w:tc>
          <w:tcPr>
            <w:tcW w:w="553" w:type="pct"/>
            <w:gridSpan w:val="2"/>
            <w:shd w:val="clear" w:color="auto" w:fill="ADD1FF" w:themeFill="accent1" w:themeFillTint="33"/>
          </w:tcPr>
          <w:p w14:paraId="6D2F084A" w14:textId="77777777" w:rsidR="00FB4388" w:rsidRPr="00DB53DA" w:rsidRDefault="00FB4388" w:rsidP="00860E42">
            <w:pPr>
              <w:rPr>
                <w:b/>
                <w:sz w:val="22"/>
                <w:szCs w:val="22"/>
                <w:lang w:val="en-GB"/>
              </w:rPr>
            </w:pPr>
            <w:r w:rsidRPr="00DB53DA">
              <w:rPr>
                <w:rFonts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4447" w:type="pct"/>
            <w:gridSpan w:val="3"/>
            <w:shd w:val="clear" w:color="auto" w:fill="ADD1FF" w:themeFill="accent1" w:themeFillTint="33"/>
          </w:tcPr>
          <w:p w14:paraId="405DE443" w14:textId="77777777" w:rsidR="00FB4388" w:rsidRPr="008D7E4D" w:rsidRDefault="00FB4388" w:rsidP="00860E42">
            <w:pPr>
              <w:rPr>
                <w:sz w:val="22"/>
                <w:szCs w:val="22"/>
              </w:rPr>
            </w:pPr>
            <w:r w:rsidRPr="008D7E4D">
              <w:rPr>
                <w:rFonts w:cs="Times New Roman"/>
                <w:b/>
                <w:sz w:val="22"/>
                <w:szCs w:val="22"/>
              </w:rPr>
              <w:t>Cochrane’s collaboration with WHO</w:t>
            </w:r>
          </w:p>
        </w:tc>
      </w:tr>
      <w:tr w:rsidR="00FB4388" w:rsidRPr="000E66E3" w14:paraId="7D702122" w14:textId="77777777" w:rsidTr="00FB4388">
        <w:trPr>
          <w:trHeight w:val="618"/>
        </w:trPr>
        <w:tc>
          <w:tcPr>
            <w:tcW w:w="553" w:type="pct"/>
            <w:gridSpan w:val="2"/>
            <w:shd w:val="clear" w:color="auto" w:fill="auto"/>
          </w:tcPr>
          <w:p w14:paraId="4DE9DE29" w14:textId="77777777" w:rsidR="00FB4388" w:rsidRPr="000E66E3" w:rsidRDefault="00FB4388" w:rsidP="00860E4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1" w:type="pct"/>
            <w:gridSpan w:val="2"/>
            <w:shd w:val="clear" w:color="auto" w:fill="auto"/>
          </w:tcPr>
          <w:p w14:paraId="1FFCA855" w14:textId="77777777" w:rsidR="00FB4388" w:rsidRPr="000E66E3" w:rsidRDefault="00FB4388" w:rsidP="00860E42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Achievements to date and</w:t>
            </w:r>
            <w:r w:rsidRPr="000E66E3">
              <w:rPr>
                <w:rFonts w:cs="Times New Roman"/>
                <w:sz w:val="22"/>
                <w:szCs w:val="22"/>
              </w:rPr>
              <w:t xml:space="preserve"> future areas of work. </w:t>
            </w:r>
          </w:p>
          <w:p w14:paraId="3AD28BC3" w14:textId="77777777" w:rsidR="00FB4388" w:rsidRPr="000E66E3" w:rsidRDefault="00FB4388" w:rsidP="00860E42">
            <w:pPr>
              <w:rPr>
                <w:sz w:val="22"/>
                <w:szCs w:val="22"/>
              </w:rPr>
            </w:pPr>
          </w:p>
        </w:tc>
        <w:tc>
          <w:tcPr>
            <w:tcW w:w="2236" w:type="pct"/>
            <w:shd w:val="clear" w:color="auto" w:fill="auto"/>
          </w:tcPr>
          <w:p w14:paraId="3A488B3C" w14:textId="77777777" w:rsidR="00FB4388" w:rsidRDefault="00FB4388" w:rsidP="00860E4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Susan Norris</w:t>
            </w:r>
          </w:p>
          <w:p w14:paraId="0C125D02" w14:textId="77777777" w:rsidR="00FB4388" w:rsidRPr="004A7E2F" w:rsidRDefault="00FB4388" w:rsidP="00860E42">
            <w:pPr>
              <w:rPr>
                <w:rFonts w:cs="Times New Roman"/>
                <w:i/>
                <w:sz w:val="18"/>
                <w:szCs w:val="18"/>
              </w:rPr>
            </w:pPr>
            <w:r w:rsidRPr="004A7E2F">
              <w:rPr>
                <w:rFonts w:cs="Times New Roman"/>
                <w:i/>
                <w:sz w:val="18"/>
                <w:szCs w:val="18"/>
              </w:rPr>
              <w:t>Guidelines Review Committee Secretariat, WHO</w:t>
            </w:r>
          </w:p>
          <w:p w14:paraId="3786D1E5" w14:textId="77777777" w:rsidR="00FB4388" w:rsidRDefault="00FB4388" w:rsidP="00860E4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Lisa Bero</w:t>
            </w:r>
          </w:p>
          <w:p w14:paraId="4A2F128F" w14:textId="77777777" w:rsidR="00FB4388" w:rsidRDefault="00FB4388" w:rsidP="00860E42">
            <w:pPr>
              <w:rPr>
                <w:rFonts w:cs="Times New Roman"/>
                <w:i/>
                <w:sz w:val="18"/>
                <w:szCs w:val="18"/>
              </w:rPr>
            </w:pPr>
            <w:r w:rsidRPr="004A7E2F">
              <w:rPr>
                <w:rFonts w:cs="Times New Roman"/>
                <w:i/>
                <w:sz w:val="18"/>
                <w:szCs w:val="18"/>
              </w:rPr>
              <w:t>co-chair, Cochrane Board</w:t>
            </w:r>
          </w:p>
          <w:p w14:paraId="0AE7E606" w14:textId="77777777" w:rsidR="00FB4388" w:rsidRPr="004A7E2F" w:rsidRDefault="00FB4388" w:rsidP="00860E42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FB4388" w:rsidRPr="000E66E3" w14:paraId="555DD8E1" w14:textId="77777777" w:rsidTr="00FB4388">
        <w:trPr>
          <w:trHeight w:val="1444"/>
        </w:trPr>
        <w:tc>
          <w:tcPr>
            <w:tcW w:w="553" w:type="pct"/>
            <w:gridSpan w:val="2"/>
            <w:shd w:val="clear" w:color="auto" w:fill="auto"/>
          </w:tcPr>
          <w:p w14:paraId="51B414F4" w14:textId="77777777" w:rsidR="00FB4388" w:rsidRPr="000E66E3" w:rsidRDefault="00FB4388" w:rsidP="00860E4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1" w:type="pct"/>
            <w:gridSpan w:val="2"/>
            <w:shd w:val="clear" w:color="auto" w:fill="auto"/>
          </w:tcPr>
          <w:p w14:paraId="0494BB5F" w14:textId="77777777" w:rsidR="00FB4388" w:rsidRPr="008D7E4D" w:rsidRDefault="00FB4388" w:rsidP="00860E42">
            <w:pPr>
              <w:rPr>
                <w:sz w:val="22"/>
                <w:szCs w:val="22"/>
              </w:rPr>
            </w:pPr>
            <w:r w:rsidRPr="008D7E4D">
              <w:rPr>
                <w:rFonts w:cs="Times New Roman"/>
                <w:sz w:val="22"/>
                <w:szCs w:val="22"/>
              </w:rPr>
              <w:t>Showcasing Cochrane-WHO collaborative experiences: Developing guidelines for health system questions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36" w:type="pct"/>
            <w:shd w:val="clear" w:color="auto" w:fill="auto"/>
          </w:tcPr>
          <w:p w14:paraId="2EF9EE16" w14:textId="77777777" w:rsidR="00333220" w:rsidRDefault="00333220" w:rsidP="00333220">
            <w:pPr>
              <w:pStyle w:val="p1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Claire Glenton</w:t>
            </w:r>
          </w:p>
          <w:p w14:paraId="452F9E87" w14:textId="77777777" w:rsidR="00333220" w:rsidRPr="008D7E4D" w:rsidRDefault="00333220" w:rsidP="00333220">
            <w:pPr>
              <w:pStyle w:val="p1"/>
              <w:rPr>
                <w:rFonts w:asciiTheme="minorHAnsi" w:hAnsiTheme="minorHAnsi"/>
                <w:i/>
                <w:color w:val="404040"/>
                <w:sz w:val="18"/>
                <w:szCs w:val="18"/>
              </w:rPr>
            </w:pPr>
            <w:r w:rsidRPr="008D7E4D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en-GB"/>
              </w:rPr>
              <w:t>Director, Cochrane Norway; Editor of Cochrane EPOC;</w:t>
            </w:r>
            <w:r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 S</w:t>
            </w:r>
            <w:r w:rsidRPr="008D7E4D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enior researcher at the </w:t>
            </w:r>
            <w:r w:rsidRPr="008D7E4D">
              <w:rPr>
                <w:rFonts w:asciiTheme="minorHAnsi" w:hAnsiTheme="minorHAnsi" w:cs="Calibri"/>
                <w:i/>
                <w:color w:val="000000" w:themeColor="text1"/>
                <w:sz w:val="18"/>
                <w:szCs w:val="18"/>
              </w:rPr>
              <w:t>Norwegian Institute of Public Health</w:t>
            </w:r>
          </w:p>
          <w:p w14:paraId="4EE18765" w14:textId="77777777" w:rsidR="00333220" w:rsidRDefault="00333220" w:rsidP="00333220">
            <w:pPr>
              <w:pStyle w:val="p1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Simon Lewin</w:t>
            </w:r>
          </w:p>
          <w:p w14:paraId="5F7F3AA6" w14:textId="4523F60F" w:rsidR="00333220" w:rsidRPr="00333220" w:rsidRDefault="00333220" w:rsidP="00333220">
            <w:pPr>
              <w:rPr>
                <w:rFonts w:cs="Times New Roman"/>
                <w:i/>
                <w:color w:val="323333"/>
                <w:sz w:val="18"/>
                <w:szCs w:val="18"/>
              </w:rPr>
            </w:pPr>
            <w:r w:rsidRPr="00655FD3">
              <w:rPr>
                <w:rFonts w:cs="Times New Roman"/>
                <w:i/>
                <w:color w:val="323333"/>
                <w:sz w:val="18"/>
                <w:szCs w:val="18"/>
              </w:rPr>
              <w:t>Joint coordinating editor Cochrane EPOC; Senior Researcher, Cochrane Norway, Norwegian Institute of Public Health and South African Medical Research Council</w:t>
            </w:r>
          </w:p>
          <w:p w14:paraId="58E4E01C" w14:textId="77777777" w:rsidR="00FB4388" w:rsidRDefault="00FB4388" w:rsidP="00860E42">
            <w:pPr>
              <w:pStyle w:val="p1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0E66E3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Metin G</w:t>
            </w:r>
            <w:r w:rsidRPr="008D7E4D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ü</w:t>
            </w:r>
            <w:r w:rsidRPr="008D7E4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l</w:t>
            </w:r>
            <w:r w:rsidRPr="000E66E3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mezoglu </w:t>
            </w:r>
          </w:p>
          <w:p w14:paraId="5F767FA4" w14:textId="77777777" w:rsidR="00FB4388" w:rsidRPr="008D7E4D" w:rsidRDefault="00FB4388" w:rsidP="00860E42">
            <w:pPr>
              <w:pStyle w:val="p1"/>
              <w:rPr>
                <w:rFonts w:asciiTheme="minorHAnsi" w:hAnsiTheme="minorHAnsi"/>
                <w:i/>
                <w:sz w:val="18"/>
                <w:szCs w:val="18"/>
              </w:rPr>
            </w:pPr>
            <w:r w:rsidRPr="008D7E4D">
              <w:rPr>
                <w:rStyle w:val="s1"/>
                <w:rFonts w:asciiTheme="minorHAnsi" w:hAnsiTheme="minorHAnsi"/>
                <w:bCs/>
                <w:i/>
                <w:sz w:val="18"/>
                <w:szCs w:val="18"/>
              </w:rPr>
              <w:t xml:space="preserve">Coordinator, Maternal and Perinatal Health and Preventing Unsafe Abortion Team, </w:t>
            </w:r>
            <w:r w:rsidRPr="008D7E4D">
              <w:rPr>
                <w:rFonts w:asciiTheme="minorHAnsi" w:hAnsiTheme="minorHAnsi"/>
                <w:i/>
                <w:sz w:val="18"/>
                <w:szCs w:val="18"/>
              </w:rPr>
              <w:t>Department of Reproductive Health and Research</w:t>
            </w:r>
            <w:r w:rsidRPr="008D7E4D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 WHO </w:t>
            </w:r>
          </w:p>
          <w:p w14:paraId="1C1C4222" w14:textId="0FAF7592" w:rsidR="00655FD3" w:rsidRPr="00655FD3" w:rsidRDefault="00655FD3" w:rsidP="00655FD3">
            <w:pPr>
              <w:rPr>
                <w:rFonts w:cs="Times New Roman"/>
                <w:i/>
                <w:color w:val="323333"/>
                <w:sz w:val="18"/>
                <w:szCs w:val="18"/>
              </w:rPr>
            </w:pPr>
          </w:p>
          <w:p w14:paraId="0DAD8898" w14:textId="0321C1DC" w:rsidR="00FB4388" w:rsidRPr="008D7E4D" w:rsidRDefault="00655FD3" w:rsidP="00655FD3">
            <w:pPr>
              <w:pStyle w:val="p1"/>
              <w:rPr>
                <w:rFonts w:asciiTheme="minorHAnsi" w:hAnsiTheme="minorHAnsi"/>
                <w:i/>
                <w:color w:val="404040"/>
                <w:sz w:val="18"/>
                <w:szCs w:val="18"/>
              </w:rPr>
            </w:pPr>
            <w:r w:rsidRPr="008D7E4D">
              <w:rPr>
                <w:rFonts w:asciiTheme="minorHAnsi" w:hAnsiTheme="minorHAnsi"/>
                <w:i/>
                <w:color w:val="404040"/>
                <w:sz w:val="18"/>
                <w:szCs w:val="18"/>
              </w:rPr>
              <w:t xml:space="preserve"> </w:t>
            </w:r>
          </w:p>
        </w:tc>
      </w:tr>
      <w:tr w:rsidR="00FB4388" w:rsidRPr="000E66E3" w14:paraId="350419EE" w14:textId="77777777" w:rsidTr="00FB4388">
        <w:trPr>
          <w:trHeight w:val="910"/>
        </w:trPr>
        <w:tc>
          <w:tcPr>
            <w:tcW w:w="553" w:type="pct"/>
            <w:gridSpan w:val="2"/>
            <w:shd w:val="clear" w:color="auto" w:fill="auto"/>
          </w:tcPr>
          <w:p w14:paraId="0C560948" w14:textId="77777777" w:rsidR="00FB4388" w:rsidRPr="000E66E3" w:rsidRDefault="00FB4388" w:rsidP="00860E4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1" w:type="pct"/>
            <w:gridSpan w:val="2"/>
            <w:shd w:val="clear" w:color="auto" w:fill="auto"/>
          </w:tcPr>
          <w:p w14:paraId="5BAEC4F4" w14:textId="3BE1F1B9" w:rsidR="00FB4388" w:rsidRPr="008D7E4D" w:rsidRDefault="00FB4388" w:rsidP="00197D45">
            <w:pPr>
              <w:rPr>
                <w:rFonts w:cs="Times New Roman"/>
                <w:sz w:val="22"/>
                <w:szCs w:val="22"/>
              </w:rPr>
            </w:pPr>
            <w:r w:rsidRPr="008D7E4D">
              <w:rPr>
                <w:rFonts w:cs="Times New Roman"/>
                <w:sz w:val="22"/>
                <w:szCs w:val="22"/>
              </w:rPr>
              <w:t xml:space="preserve">Showcasing Cochrane-WHO collaborative experiences: Systematic reviews to inform complex interventions in nutrition, the importance </w:t>
            </w:r>
            <w:r w:rsidRPr="00197D45">
              <w:rPr>
                <w:rFonts w:cs="Times New Roman"/>
                <w:sz w:val="22"/>
                <w:szCs w:val="22"/>
              </w:rPr>
              <w:t xml:space="preserve">of </w:t>
            </w:r>
            <w:r w:rsidR="00197D45" w:rsidRPr="00197D45">
              <w:rPr>
                <w:rFonts w:cs="Arial"/>
                <w:sz w:val="22"/>
                <w:szCs w:val="22"/>
              </w:rPr>
              <w:t>good reporting and context in guideline development processes</w:t>
            </w:r>
            <w:r w:rsidRPr="00197D4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36" w:type="pct"/>
          </w:tcPr>
          <w:p w14:paraId="5AC6AE83" w14:textId="77777777" w:rsidR="00FB4388" w:rsidRDefault="00FB4388" w:rsidP="00860E42">
            <w:pPr>
              <w:rPr>
                <w:sz w:val="22"/>
                <w:szCs w:val="22"/>
                <w:lang w:val="en-GB"/>
              </w:rPr>
            </w:pPr>
            <w:r w:rsidRPr="000E66E3">
              <w:rPr>
                <w:sz w:val="22"/>
                <w:szCs w:val="22"/>
                <w:lang w:val="en-GB"/>
              </w:rPr>
              <w:t>J</w:t>
            </w:r>
            <w:r>
              <w:rPr>
                <w:sz w:val="22"/>
                <w:szCs w:val="22"/>
                <w:lang w:val="en-GB"/>
              </w:rPr>
              <w:t>uan Pablo Peña Rosas</w:t>
            </w:r>
          </w:p>
          <w:p w14:paraId="1321CAAF" w14:textId="77777777" w:rsidR="00FB4388" w:rsidRPr="006C2F67" w:rsidRDefault="00FB4388" w:rsidP="00860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C2F67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Coordinator, Evidence and Programme Guidance</w:t>
            </w:r>
            <w:r w:rsidRPr="006C2F67">
              <w:rPr>
                <w:rFonts w:cs="Times New Roman"/>
                <w:color w:val="000000" w:themeColor="text1"/>
                <w:sz w:val="18"/>
                <w:szCs w:val="18"/>
              </w:rPr>
              <w:br/>
            </w:r>
            <w:r w:rsidRPr="006C2F67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Nutrition for Health and Development</w:t>
            </w:r>
            <w: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, WHO</w:t>
            </w:r>
          </w:p>
          <w:p w14:paraId="12694F0E" w14:textId="7A6E2486" w:rsidR="00FB4388" w:rsidRDefault="009B01B3" w:rsidP="00860E4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Geraldine Macd</w:t>
            </w:r>
            <w:r w:rsidR="00FB4388">
              <w:rPr>
                <w:sz w:val="22"/>
                <w:szCs w:val="22"/>
                <w:lang w:val="en-GB"/>
              </w:rPr>
              <w:t>onald</w:t>
            </w:r>
          </w:p>
          <w:p w14:paraId="6D0A7764" w14:textId="77777777" w:rsidR="00FB4388" w:rsidRPr="00DB53DA" w:rsidRDefault="00FB4388" w:rsidP="00860E42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DB53DA">
              <w:rPr>
                <w:rFonts w:cs="Times New Roman"/>
                <w:i/>
                <w:color w:val="000000" w:themeColor="text1"/>
                <w:sz w:val="18"/>
                <w:szCs w:val="18"/>
              </w:rPr>
              <w:t>Co-ordinating Editor, Cochrane Developmental, Psychosocial and Learning Problems Group;</w:t>
            </w:r>
          </w:p>
          <w:p w14:paraId="45933715" w14:textId="77777777" w:rsidR="00FB4388" w:rsidRPr="006C2F67" w:rsidRDefault="00FB4388" w:rsidP="00860E42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DB53DA">
              <w:rPr>
                <w:rFonts w:cs="Times New Roman"/>
                <w:i/>
                <w:color w:val="000000" w:themeColor="text1"/>
                <w:sz w:val="18"/>
                <w:szCs w:val="18"/>
              </w:rPr>
              <w:t>Professor of Social Work, University of Bristol</w:t>
            </w:r>
          </w:p>
          <w:p w14:paraId="3BB4EEEE" w14:textId="77777777" w:rsidR="00FB4388" w:rsidRDefault="00FB4388" w:rsidP="00860E42">
            <w:pPr>
              <w:rPr>
                <w:sz w:val="22"/>
                <w:szCs w:val="22"/>
                <w:lang w:val="en-GB"/>
              </w:rPr>
            </w:pPr>
          </w:p>
          <w:p w14:paraId="273EF32F" w14:textId="77777777" w:rsidR="00FB4388" w:rsidRPr="000E66E3" w:rsidRDefault="00FB4388" w:rsidP="00860E4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B4388" w:rsidRPr="000E66E3" w14:paraId="33E3B695" w14:textId="77777777" w:rsidTr="00FB4388">
        <w:tc>
          <w:tcPr>
            <w:tcW w:w="553" w:type="pct"/>
            <w:gridSpan w:val="2"/>
            <w:shd w:val="clear" w:color="auto" w:fill="ADD1FF" w:themeFill="accent1" w:themeFillTint="33"/>
          </w:tcPr>
          <w:p w14:paraId="7963A0B7" w14:textId="77777777" w:rsidR="00FB4388" w:rsidRPr="00DB53DA" w:rsidRDefault="00FB4388" w:rsidP="00860E42">
            <w:pPr>
              <w:rPr>
                <w:b/>
                <w:sz w:val="22"/>
                <w:szCs w:val="22"/>
                <w:lang w:val="en-GB"/>
              </w:rPr>
            </w:pPr>
            <w:r w:rsidRPr="00DB53DA">
              <w:rPr>
                <w:rFonts w:cs="Times New Roman"/>
                <w:b/>
                <w:sz w:val="22"/>
                <w:szCs w:val="22"/>
              </w:rPr>
              <w:t xml:space="preserve">15:00 </w:t>
            </w:r>
          </w:p>
        </w:tc>
        <w:tc>
          <w:tcPr>
            <w:tcW w:w="4447" w:type="pct"/>
            <w:gridSpan w:val="3"/>
            <w:shd w:val="clear" w:color="auto" w:fill="ADD1FF" w:themeFill="accent1" w:themeFillTint="33"/>
          </w:tcPr>
          <w:p w14:paraId="7E1983D6" w14:textId="77777777" w:rsidR="00FB4388" w:rsidRPr="00DB53DA" w:rsidRDefault="00FB4388" w:rsidP="00860E42">
            <w:pPr>
              <w:rPr>
                <w:b/>
                <w:sz w:val="22"/>
                <w:szCs w:val="22"/>
                <w:lang w:val="en-GB"/>
              </w:rPr>
            </w:pPr>
            <w:r w:rsidRPr="00DB53DA">
              <w:rPr>
                <w:b/>
                <w:sz w:val="22"/>
                <w:szCs w:val="22"/>
                <w:lang w:val="en-GB"/>
              </w:rPr>
              <w:t>Coffee break</w:t>
            </w:r>
          </w:p>
        </w:tc>
      </w:tr>
      <w:tr w:rsidR="00FB4388" w:rsidRPr="000E66E3" w14:paraId="139A0720" w14:textId="77777777" w:rsidTr="00FB4388">
        <w:tc>
          <w:tcPr>
            <w:tcW w:w="553" w:type="pct"/>
            <w:gridSpan w:val="2"/>
            <w:shd w:val="clear" w:color="auto" w:fill="auto"/>
          </w:tcPr>
          <w:p w14:paraId="41E04620" w14:textId="77777777" w:rsidR="00FB4388" w:rsidRPr="00DB53DA" w:rsidRDefault="00FB4388" w:rsidP="00860E4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447" w:type="pct"/>
            <w:gridSpan w:val="3"/>
            <w:shd w:val="clear" w:color="auto" w:fill="auto"/>
          </w:tcPr>
          <w:p w14:paraId="53EF04DA" w14:textId="77777777" w:rsidR="00FB4388" w:rsidRPr="00DB53DA" w:rsidRDefault="00FB4388" w:rsidP="00860E42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B4388" w:rsidRPr="000E66E3" w14:paraId="4E0140BF" w14:textId="77777777" w:rsidTr="00FB4388">
        <w:tc>
          <w:tcPr>
            <w:tcW w:w="404" w:type="pct"/>
            <w:shd w:val="clear" w:color="auto" w:fill="ADD1FF" w:themeFill="accent1" w:themeFillTint="33"/>
          </w:tcPr>
          <w:p w14:paraId="171007A2" w14:textId="77777777" w:rsidR="00FB4388" w:rsidRPr="00DB53DA" w:rsidRDefault="00FB4388" w:rsidP="00860E42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15:15</w:t>
            </w:r>
          </w:p>
        </w:tc>
        <w:tc>
          <w:tcPr>
            <w:tcW w:w="150" w:type="pct"/>
            <w:shd w:val="clear" w:color="auto" w:fill="ADD1FF" w:themeFill="accent1" w:themeFillTint="33"/>
          </w:tcPr>
          <w:p w14:paraId="5D017D62" w14:textId="77777777" w:rsidR="00FB4388" w:rsidRPr="00DB53DA" w:rsidRDefault="00FB4388" w:rsidP="00860E4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447" w:type="pct"/>
            <w:gridSpan w:val="3"/>
            <w:shd w:val="clear" w:color="auto" w:fill="ADD1FF" w:themeFill="accent1" w:themeFillTint="33"/>
          </w:tcPr>
          <w:p w14:paraId="1D3406E6" w14:textId="1F1F92FC" w:rsidR="00FB4388" w:rsidRPr="00DB53DA" w:rsidRDefault="00FB4388" w:rsidP="00860E42">
            <w:pPr>
              <w:rPr>
                <w:rFonts w:cs="Times New Roman"/>
                <w:b/>
                <w:sz w:val="22"/>
                <w:szCs w:val="22"/>
              </w:rPr>
            </w:pPr>
            <w:r w:rsidRPr="00DB53DA">
              <w:rPr>
                <w:rFonts w:cs="Times New Roman"/>
                <w:b/>
                <w:sz w:val="22"/>
                <w:szCs w:val="22"/>
              </w:rPr>
              <w:t xml:space="preserve">How can Cochrane support WHO in developing </w:t>
            </w:r>
            <w:r w:rsidR="00197D45">
              <w:rPr>
                <w:rFonts w:cs="Times New Roman"/>
                <w:b/>
                <w:sz w:val="22"/>
                <w:szCs w:val="22"/>
              </w:rPr>
              <w:t xml:space="preserve">evidence-informed </w:t>
            </w:r>
            <w:r w:rsidRPr="00DB53DA">
              <w:rPr>
                <w:rFonts w:cs="Times New Roman"/>
                <w:b/>
                <w:sz w:val="22"/>
                <w:szCs w:val="22"/>
              </w:rPr>
              <w:t>guidelines?</w:t>
            </w:r>
          </w:p>
          <w:p w14:paraId="6FF9676A" w14:textId="77777777" w:rsidR="00FB4388" w:rsidRPr="00DB53DA" w:rsidRDefault="00FB4388" w:rsidP="00860E42">
            <w:pPr>
              <w:rPr>
                <w:b/>
                <w:i/>
                <w:sz w:val="22"/>
                <w:szCs w:val="22"/>
                <w:lang w:val="en-GB"/>
              </w:rPr>
            </w:pPr>
            <w:r w:rsidRPr="00DB53DA">
              <w:rPr>
                <w:rFonts w:cs="Times New Roman"/>
                <w:b/>
                <w:i/>
                <w:sz w:val="22"/>
                <w:szCs w:val="22"/>
              </w:rPr>
              <w:t>Small group discussions</w:t>
            </w:r>
          </w:p>
        </w:tc>
      </w:tr>
      <w:tr w:rsidR="00FB4388" w:rsidRPr="000E66E3" w14:paraId="477EBB01" w14:textId="77777777" w:rsidTr="00FB4388">
        <w:trPr>
          <w:trHeight w:val="2146"/>
        </w:trPr>
        <w:tc>
          <w:tcPr>
            <w:tcW w:w="553" w:type="pct"/>
            <w:gridSpan w:val="2"/>
          </w:tcPr>
          <w:p w14:paraId="211DC751" w14:textId="2A5BE25B" w:rsidR="00FB4388" w:rsidRDefault="008A1268" w:rsidP="00134BF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Salle A</w:t>
            </w:r>
          </w:p>
        </w:tc>
        <w:tc>
          <w:tcPr>
            <w:tcW w:w="2211" w:type="pct"/>
            <w:gridSpan w:val="2"/>
          </w:tcPr>
          <w:p w14:paraId="7A19EFB0" w14:textId="0E840686" w:rsidR="00E1758F" w:rsidRPr="00E1758F" w:rsidRDefault="00E1758F" w:rsidP="00E1758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Topic:</w:t>
            </w:r>
          </w:p>
          <w:p w14:paraId="0E741F6F" w14:textId="77777777" w:rsidR="00FB4388" w:rsidRPr="000E66E3" w:rsidRDefault="00FB4388" w:rsidP="00FB438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0E66E3">
              <w:rPr>
                <w:rFonts w:cs="Calibri"/>
                <w:sz w:val="22"/>
                <w:szCs w:val="22"/>
              </w:rPr>
              <w:t>Standard guidelines development.</w:t>
            </w:r>
          </w:p>
          <w:p w14:paraId="7B4C0325" w14:textId="77777777" w:rsidR="00134BF3" w:rsidRDefault="00134BF3" w:rsidP="00B56EA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Calibri"/>
                <w:sz w:val="22"/>
                <w:szCs w:val="22"/>
              </w:rPr>
            </w:pPr>
          </w:p>
          <w:p w14:paraId="40757199" w14:textId="77777777" w:rsidR="00E1758F" w:rsidRPr="00E1758F" w:rsidRDefault="00E1758F" w:rsidP="00E1758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Calibri"/>
                <w:sz w:val="22"/>
                <w:szCs w:val="22"/>
              </w:rPr>
            </w:pPr>
          </w:p>
          <w:p w14:paraId="17E690DC" w14:textId="77777777" w:rsidR="00FB4388" w:rsidRPr="000E66E3" w:rsidRDefault="00FB4388" w:rsidP="00FB438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0E66E3">
              <w:rPr>
                <w:rFonts w:cs="Calibri"/>
                <w:sz w:val="22"/>
                <w:szCs w:val="22"/>
              </w:rPr>
              <w:t>Rapid advice and ultra-fast guidelines in public health emergencies.</w:t>
            </w:r>
          </w:p>
          <w:p w14:paraId="03500FDB" w14:textId="7F455064" w:rsidR="00FB4388" w:rsidRDefault="00FB4388" w:rsidP="00FB438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0E66E3">
              <w:rPr>
                <w:rFonts w:cs="Calibri"/>
                <w:sz w:val="22"/>
                <w:szCs w:val="22"/>
              </w:rPr>
              <w:t xml:space="preserve">Ensuring applicability of systematic reviews in </w:t>
            </w:r>
            <w:r w:rsidR="00197D45">
              <w:rPr>
                <w:rFonts w:cs="Calibri"/>
                <w:sz w:val="22"/>
                <w:szCs w:val="22"/>
              </w:rPr>
              <w:t>low and middle income countries</w:t>
            </w:r>
            <w:r w:rsidRPr="000E66E3">
              <w:rPr>
                <w:rFonts w:cs="Calibri"/>
                <w:sz w:val="22"/>
                <w:szCs w:val="22"/>
              </w:rPr>
              <w:t xml:space="preserve"> contexts.</w:t>
            </w:r>
          </w:p>
          <w:p w14:paraId="317D066C" w14:textId="4CA043A4" w:rsidR="00FB4388" w:rsidRDefault="00FB4388" w:rsidP="00FB438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0E66E3">
              <w:rPr>
                <w:rFonts w:cs="Calibri"/>
                <w:sz w:val="22"/>
                <w:szCs w:val="22"/>
              </w:rPr>
              <w:t>Facilitating use of vari</w:t>
            </w:r>
            <w:r w:rsidR="00686E7E">
              <w:rPr>
                <w:rFonts w:cs="Calibri"/>
                <w:sz w:val="22"/>
                <w:szCs w:val="22"/>
              </w:rPr>
              <w:t>ous types of data (qualitative and quantitative</w:t>
            </w:r>
            <w:r w:rsidRPr="000E66E3">
              <w:rPr>
                <w:rFonts w:cs="Calibri"/>
                <w:sz w:val="22"/>
                <w:szCs w:val="22"/>
              </w:rPr>
              <w:t xml:space="preserve">) in </w:t>
            </w:r>
            <w:r w:rsidR="00686E7E">
              <w:rPr>
                <w:rFonts w:cs="Calibri"/>
                <w:sz w:val="22"/>
                <w:szCs w:val="22"/>
              </w:rPr>
              <w:t>guideline development</w:t>
            </w:r>
            <w:r w:rsidRPr="000E66E3">
              <w:rPr>
                <w:rFonts w:cs="Calibri"/>
                <w:sz w:val="22"/>
                <w:szCs w:val="22"/>
              </w:rPr>
              <w:t>.</w:t>
            </w:r>
          </w:p>
          <w:p w14:paraId="16AAF8F2" w14:textId="2FBA0587" w:rsidR="007A72C2" w:rsidRDefault="007A72C2" w:rsidP="00FB438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</w:t>
            </w:r>
            <w:r w:rsidR="00D66396">
              <w:rPr>
                <w:rFonts w:cs="Calibri"/>
                <w:sz w:val="22"/>
                <w:szCs w:val="22"/>
              </w:rPr>
              <w:t>nternational Clinical Trials Registry Platform (I</w:t>
            </w:r>
            <w:r>
              <w:rPr>
                <w:rFonts w:cs="Calibri"/>
                <w:sz w:val="22"/>
                <w:szCs w:val="22"/>
              </w:rPr>
              <w:t>CTRP</w:t>
            </w:r>
            <w:r w:rsidR="00D66396">
              <w:rPr>
                <w:rFonts w:cs="Calibri"/>
                <w:sz w:val="22"/>
                <w:szCs w:val="22"/>
              </w:rPr>
              <w:t>)</w:t>
            </w:r>
            <w:r>
              <w:rPr>
                <w:rFonts w:cs="Calibri"/>
                <w:sz w:val="22"/>
                <w:szCs w:val="22"/>
              </w:rPr>
              <w:t xml:space="preserve"> and results reporting</w:t>
            </w:r>
          </w:p>
          <w:p w14:paraId="0E72DDDE" w14:textId="1107BAEF" w:rsidR="00D66396" w:rsidRPr="000E66E3" w:rsidRDefault="00D66396" w:rsidP="00FB438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Open Space: For any other topic people would like to discuss</w:t>
            </w:r>
          </w:p>
          <w:p w14:paraId="246C2A1D" w14:textId="77777777" w:rsidR="00FB4388" w:rsidRDefault="00FB4388" w:rsidP="00860E4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6" w:type="pct"/>
          </w:tcPr>
          <w:p w14:paraId="79FAFCF8" w14:textId="2CC7C270" w:rsidR="00E1758F" w:rsidRDefault="00E1758F" w:rsidP="00FB438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Facilitated by:</w:t>
            </w:r>
          </w:p>
          <w:p w14:paraId="11B455D4" w14:textId="77777777" w:rsidR="00E1758F" w:rsidRDefault="00E1758F" w:rsidP="00FB438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Marguerite Koster</w:t>
            </w:r>
          </w:p>
          <w:p w14:paraId="452AB764" w14:textId="377EACB4" w:rsidR="00B56EA0" w:rsidRDefault="00C23E86" w:rsidP="00FB438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Olufemi Oladapo</w:t>
            </w:r>
          </w:p>
          <w:p w14:paraId="2E219AC7" w14:textId="77777777" w:rsidR="00134BF3" w:rsidRDefault="00134BF3" w:rsidP="00FB4388">
            <w:pPr>
              <w:rPr>
                <w:sz w:val="22"/>
                <w:szCs w:val="22"/>
                <w:lang w:val="en-GB"/>
              </w:rPr>
            </w:pPr>
          </w:p>
          <w:p w14:paraId="02599700" w14:textId="77777777" w:rsidR="00E1758F" w:rsidRDefault="00E1758F" w:rsidP="00FB438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Gerald Garthlener</w:t>
            </w:r>
          </w:p>
          <w:p w14:paraId="5A3B9357" w14:textId="61CFF792" w:rsidR="00134BF3" w:rsidRDefault="008865F1" w:rsidP="00FB438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Susan Norris</w:t>
            </w:r>
          </w:p>
          <w:p w14:paraId="3A9062A6" w14:textId="77777777" w:rsidR="00134BF3" w:rsidRDefault="00134BF3" w:rsidP="00FB4388">
            <w:pPr>
              <w:rPr>
                <w:sz w:val="22"/>
                <w:szCs w:val="22"/>
                <w:lang w:val="en-GB"/>
              </w:rPr>
            </w:pPr>
          </w:p>
          <w:p w14:paraId="439163DB" w14:textId="77777777" w:rsidR="00E1758F" w:rsidRDefault="005B287B" w:rsidP="00FB4388">
            <w:pPr>
              <w:rPr>
                <w:sz w:val="22"/>
                <w:szCs w:val="22"/>
                <w:lang w:val="en-GB"/>
              </w:rPr>
            </w:pPr>
            <w:r w:rsidRPr="005B287B">
              <w:rPr>
                <w:sz w:val="22"/>
                <w:szCs w:val="22"/>
                <w:lang w:val="en-GB"/>
              </w:rPr>
              <w:t>Charles Shey Wiysonge</w:t>
            </w:r>
          </w:p>
          <w:p w14:paraId="62065A7D" w14:textId="3BB0B342" w:rsidR="00134BF3" w:rsidRDefault="0085223A" w:rsidP="00FB438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Prathap Tharyan</w:t>
            </w:r>
          </w:p>
          <w:p w14:paraId="3D308A71" w14:textId="77777777" w:rsidR="000E54AF" w:rsidRDefault="000E54AF" w:rsidP="00FB4388">
            <w:pPr>
              <w:rPr>
                <w:sz w:val="22"/>
                <w:szCs w:val="22"/>
                <w:lang w:val="en-GB"/>
              </w:rPr>
            </w:pPr>
          </w:p>
          <w:p w14:paraId="07A49538" w14:textId="77777777" w:rsidR="00E1758F" w:rsidRDefault="00333220" w:rsidP="00C23E86">
            <w:pPr>
              <w:rPr>
                <w:sz w:val="22"/>
                <w:szCs w:val="22"/>
                <w:lang w:val="en-GB"/>
              </w:rPr>
            </w:pPr>
            <w:r w:rsidRPr="00333220">
              <w:rPr>
                <w:rFonts w:ascii="Source Sans Pro" w:hAnsi="Source Sans Pro" w:cs="Arial"/>
                <w:color w:val="000000" w:themeColor="text1"/>
                <w:sz w:val="22"/>
                <w:szCs w:val="22"/>
                <w:lang w:val="en-GB"/>
              </w:rPr>
              <w:t>Özge</w:t>
            </w:r>
            <w:r w:rsidR="00C23E86">
              <w:rPr>
                <w:sz w:val="22"/>
                <w:szCs w:val="22"/>
                <w:lang w:val="en-GB"/>
              </w:rPr>
              <w:t xml:space="preserve"> Tuncalp</w:t>
            </w:r>
          </w:p>
          <w:p w14:paraId="28CDC1C1" w14:textId="4FFD37FF" w:rsidR="005B287B" w:rsidRDefault="00C23E86" w:rsidP="00C23E8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Jane Noyes </w:t>
            </w:r>
          </w:p>
          <w:p w14:paraId="19BCFDCF" w14:textId="77777777" w:rsidR="007A72C2" w:rsidRDefault="007A72C2" w:rsidP="00C23E86">
            <w:pPr>
              <w:rPr>
                <w:sz w:val="22"/>
                <w:szCs w:val="22"/>
                <w:lang w:val="en-GB"/>
              </w:rPr>
            </w:pPr>
          </w:p>
          <w:p w14:paraId="4351F579" w14:textId="77777777" w:rsidR="00E1758F" w:rsidRDefault="00D66396" w:rsidP="00D66396">
            <w:pPr>
              <w:rPr>
                <w:rFonts w:eastAsia="Times New Roman" w:cs="Arial"/>
                <w:color w:val="003366"/>
                <w:sz w:val="20"/>
                <w:szCs w:val="20"/>
                <w:shd w:val="clear" w:color="auto" w:fill="FFFFFF"/>
              </w:rPr>
            </w:pPr>
            <w:r w:rsidRPr="00D66396">
              <w:rPr>
                <w:rFonts w:eastAsia="Times New Roman" w:cs="Arial"/>
                <w:color w:val="003366"/>
                <w:sz w:val="20"/>
                <w:szCs w:val="20"/>
                <w:shd w:val="clear" w:color="auto" w:fill="FFFFFF"/>
              </w:rPr>
              <w:t>Vasee Moorthy</w:t>
            </w:r>
          </w:p>
          <w:p w14:paraId="2CB2FE89" w14:textId="3A42EF16" w:rsidR="00D66396" w:rsidRPr="00D66396" w:rsidRDefault="00E1758F" w:rsidP="00D66396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3366"/>
                <w:sz w:val="20"/>
                <w:szCs w:val="20"/>
                <w:shd w:val="clear" w:color="auto" w:fill="FFFFFF"/>
              </w:rPr>
              <w:t>Lotty Hooft</w:t>
            </w:r>
          </w:p>
          <w:p w14:paraId="649872F3" w14:textId="1649F265" w:rsidR="007A72C2" w:rsidRDefault="007A72C2" w:rsidP="00E1758F">
            <w:pPr>
              <w:rPr>
                <w:sz w:val="22"/>
                <w:szCs w:val="22"/>
                <w:highlight w:val="yellow"/>
                <w:lang w:val="en-GB"/>
              </w:rPr>
            </w:pPr>
          </w:p>
        </w:tc>
      </w:tr>
      <w:tr w:rsidR="00FB4388" w:rsidRPr="000E66E3" w14:paraId="55ADF510" w14:textId="77777777" w:rsidTr="00FB4388">
        <w:tc>
          <w:tcPr>
            <w:tcW w:w="553" w:type="pct"/>
            <w:gridSpan w:val="2"/>
            <w:shd w:val="clear" w:color="auto" w:fill="ADD1FF" w:themeFill="accent1" w:themeFillTint="33"/>
          </w:tcPr>
          <w:p w14:paraId="63D8F053" w14:textId="42029140" w:rsidR="00FB4388" w:rsidRPr="00A63539" w:rsidRDefault="00FB4388" w:rsidP="00860E42">
            <w:pPr>
              <w:rPr>
                <w:b/>
                <w:sz w:val="22"/>
                <w:szCs w:val="22"/>
                <w:lang w:val="en-GB"/>
              </w:rPr>
            </w:pPr>
            <w:r w:rsidRPr="00A63539">
              <w:rPr>
                <w:rFonts w:cs="Times New Roman"/>
                <w:b/>
                <w:sz w:val="22"/>
                <w:szCs w:val="22"/>
              </w:rPr>
              <w:t xml:space="preserve">16:30  </w:t>
            </w:r>
          </w:p>
        </w:tc>
        <w:tc>
          <w:tcPr>
            <w:tcW w:w="4447" w:type="pct"/>
            <w:gridSpan w:val="3"/>
            <w:shd w:val="clear" w:color="auto" w:fill="ADD1FF" w:themeFill="accent1" w:themeFillTint="33"/>
          </w:tcPr>
          <w:p w14:paraId="14888DA0" w14:textId="77777777" w:rsidR="00FB4388" w:rsidRPr="00A63539" w:rsidRDefault="00FB4388" w:rsidP="00860E42">
            <w:pPr>
              <w:rPr>
                <w:b/>
                <w:sz w:val="22"/>
                <w:szCs w:val="22"/>
                <w:lang w:val="en-GB"/>
              </w:rPr>
            </w:pPr>
            <w:r w:rsidRPr="00A63539">
              <w:rPr>
                <w:rFonts w:cs="Times New Roman"/>
                <w:b/>
                <w:sz w:val="22"/>
                <w:szCs w:val="22"/>
              </w:rPr>
              <w:t>General Q&amp;A and closure</w:t>
            </w:r>
          </w:p>
        </w:tc>
      </w:tr>
      <w:tr w:rsidR="00FB4388" w:rsidRPr="000E66E3" w14:paraId="243183BE" w14:textId="77777777" w:rsidTr="00FB4388">
        <w:tc>
          <w:tcPr>
            <w:tcW w:w="553" w:type="pct"/>
            <w:gridSpan w:val="2"/>
            <w:shd w:val="clear" w:color="auto" w:fill="auto"/>
          </w:tcPr>
          <w:p w14:paraId="0D9F3AA9" w14:textId="77777777" w:rsidR="00FB4388" w:rsidRPr="00A63539" w:rsidRDefault="00FB4388" w:rsidP="00860E4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447" w:type="pct"/>
            <w:gridSpan w:val="3"/>
            <w:shd w:val="clear" w:color="auto" w:fill="auto"/>
          </w:tcPr>
          <w:p w14:paraId="309A22B0" w14:textId="77777777" w:rsidR="00FB4388" w:rsidRPr="00A63539" w:rsidRDefault="00FB4388" w:rsidP="00860E42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B4388" w:rsidRPr="000E66E3" w14:paraId="25D28B19" w14:textId="77777777" w:rsidTr="00FB4388">
        <w:tc>
          <w:tcPr>
            <w:tcW w:w="553" w:type="pct"/>
            <w:gridSpan w:val="2"/>
            <w:shd w:val="clear" w:color="auto" w:fill="ADD1FF" w:themeFill="accent1" w:themeFillTint="33"/>
          </w:tcPr>
          <w:p w14:paraId="1A97E6A5" w14:textId="77777777" w:rsidR="00FB4388" w:rsidRPr="00A63539" w:rsidRDefault="00FB4388" w:rsidP="00860E42">
            <w:pPr>
              <w:rPr>
                <w:b/>
                <w:sz w:val="22"/>
                <w:szCs w:val="22"/>
                <w:lang w:val="en-GB"/>
              </w:rPr>
            </w:pPr>
            <w:r w:rsidRPr="00A63539">
              <w:rPr>
                <w:b/>
                <w:sz w:val="22"/>
                <w:szCs w:val="22"/>
                <w:lang w:val="en-GB"/>
              </w:rPr>
              <w:t>17:00 – 19:00</w:t>
            </w:r>
          </w:p>
        </w:tc>
        <w:tc>
          <w:tcPr>
            <w:tcW w:w="4447" w:type="pct"/>
            <w:gridSpan w:val="3"/>
            <w:shd w:val="clear" w:color="auto" w:fill="ADD1FF" w:themeFill="accent1" w:themeFillTint="33"/>
          </w:tcPr>
          <w:p w14:paraId="5077FA84" w14:textId="3DC4231A" w:rsidR="00FB4388" w:rsidRPr="00A63539" w:rsidRDefault="00197D45" w:rsidP="00860E42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Drinks reception at the WHO W</w:t>
            </w:r>
            <w:r w:rsidR="00FB4388" w:rsidRPr="00A63539">
              <w:rPr>
                <w:b/>
                <w:sz w:val="22"/>
                <w:szCs w:val="22"/>
                <w:lang w:val="en-GB"/>
              </w:rPr>
              <w:t>inter</w:t>
            </w:r>
            <w:r>
              <w:rPr>
                <w:b/>
                <w:sz w:val="22"/>
                <w:szCs w:val="22"/>
                <w:lang w:val="en-GB"/>
              </w:rPr>
              <w:t xml:space="preserve"> G</w:t>
            </w:r>
            <w:r w:rsidR="00FB4388" w:rsidRPr="00A63539">
              <w:rPr>
                <w:b/>
                <w:sz w:val="22"/>
                <w:szCs w:val="22"/>
                <w:lang w:val="en-GB"/>
              </w:rPr>
              <w:t>arden</w:t>
            </w:r>
          </w:p>
        </w:tc>
      </w:tr>
    </w:tbl>
    <w:p w14:paraId="192EFC33" w14:textId="77777777" w:rsidR="00FB4388" w:rsidRDefault="00FB4388" w:rsidP="00FB4388"/>
    <w:p w14:paraId="3A8DFA42" w14:textId="77777777" w:rsidR="00FB4388" w:rsidRDefault="00FB4388" w:rsidP="00FB4388"/>
    <w:p w14:paraId="73C6859F" w14:textId="77777777" w:rsidR="00FB4388" w:rsidRDefault="00FB4388" w:rsidP="00FB4388"/>
    <w:p w14:paraId="22012830" w14:textId="77777777" w:rsidR="002348F7" w:rsidRDefault="002348F7" w:rsidP="00C72FDB">
      <w:pPr>
        <w:pStyle w:val="PagesHeading"/>
        <w:numPr>
          <w:ilvl w:val="0"/>
          <w:numId w:val="0"/>
        </w:numPr>
        <w:ind w:left="432" w:hanging="432"/>
      </w:pPr>
    </w:p>
    <w:sectPr w:rsidR="002348F7" w:rsidSect="00FB4388">
      <w:type w:val="continuous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3398" w14:textId="77777777" w:rsidR="002D78C5" w:rsidRDefault="002D78C5" w:rsidP="001440A0">
      <w:r>
        <w:separator/>
      </w:r>
    </w:p>
  </w:endnote>
  <w:endnote w:type="continuationSeparator" w:id="0">
    <w:p w14:paraId="10F8F669" w14:textId="77777777" w:rsidR="002D78C5" w:rsidRDefault="002D78C5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auto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FA990" w14:textId="77777777" w:rsidR="002D78C5" w:rsidRDefault="002D78C5" w:rsidP="001440A0">
      <w:r>
        <w:separator/>
      </w:r>
    </w:p>
  </w:footnote>
  <w:footnote w:type="continuationSeparator" w:id="0">
    <w:p w14:paraId="2CCBAE42" w14:textId="77777777" w:rsidR="002D78C5" w:rsidRDefault="002D78C5" w:rsidP="001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>
    <w:nsid w:val="05D31719"/>
    <w:multiLevelType w:val="hybridMultilevel"/>
    <w:tmpl w:val="BB7A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4D6609C"/>
    <w:multiLevelType w:val="multilevel"/>
    <w:tmpl w:val="0409001F"/>
    <w:numStyleLink w:val="111111"/>
  </w:abstractNum>
  <w:abstractNum w:abstractNumId="18">
    <w:nsid w:val="297C393E"/>
    <w:multiLevelType w:val="hybridMultilevel"/>
    <w:tmpl w:val="99F61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4C656E"/>
    <w:multiLevelType w:val="hybridMultilevel"/>
    <w:tmpl w:val="D342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11C78"/>
    <w:multiLevelType w:val="multilevel"/>
    <w:tmpl w:val="0409001F"/>
    <w:numStyleLink w:val="111111"/>
  </w:abstractNum>
  <w:abstractNum w:abstractNumId="21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4">
    <w:nsid w:val="575F2C60"/>
    <w:multiLevelType w:val="hybridMultilevel"/>
    <w:tmpl w:val="2AEC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7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C330099"/>
    <w:multiLevelType w:val="hybridMultilevel"/>
    <w:tmpl w:val="220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81BA6"/>
    <w:multiLevelType w:val="hybridMultilevel"/>
    <w:tmpl w:val="B968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23"/>
  </w:num>
  <w:num w:numId="5">
    <w:abstractNumId w:val="20"/>
  </w:num>
  <w:num w:numId="6">
    <w:abstractNumId w:val="11"/>
  </w:num>
  <w:num w:numId="7">
    <w:abstractNumId w:val="16"/>
  </w:num>
  <w:num w:numId="8">
    <w:abstractNumId w:val="22"/>
  </w:num>
  <w:num w:numId="9">
    <w:abstractNumId w:val="15"/>
  </w:num>
  <w:num w:numId="10">
    <w:abstractNumId w:val="27"/>
  </w:num>
  <w:num w:numId="11">
    <w:abstractNumId w:val="14"/>
  </w:num>
  <w:num w:numId="12">
    <w:abstractNumId w:val="12"/>
  </w:num>
  <w:num w:numId="13">
    <w:abstractNumId w:val="2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8"/>
  </w:num>
  <w:num w:numId="27">
    <w:abstractNumId w:val="24"/>
  </w:num>
  <w:num w:numId="28">
    <w:abstractNumId w:val="19"/>
  </w:num>
  <w:num w:numId="29">
    <w:abstractNumId w:val="28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88"/>
    <w:rsid w:val="0001186D"/>
    <w:rsid w:val="00023CBA"/>
    <w:rsid w:val="000474F3"/>
    <w:rsid w:val="000573E2"/>
    <w:rsid w:val="00067470"/>
    <w:rsid w:val="00087ACC"/>
    <w:rsid w:val="00092283"/>
    <w:rsid w:val="000E1E98"/>
    <w:rsid w:val="000E54AF"/>
    <w:rsid w:val="001075B6"/>
    <w:rsid w:val="00110A32"/>
    <w:rsid w:val="00134BF3"/>
    <w:rsid w:val="001440A0"/>
    <w:rsid w:val="001504BE"/>
    <w:rsid w:val="001533F7"/>
    <w:rsid w:val="00162D43"/>
    <w:rsid w:val="00166137"/>
    <w:rsid w:val="00166E07"/>
    <w:rsid w:val="00197D45"/>
    <w:rsid w:val="001A6C76"/>
    <w:rsid w:val="001B27FE"/>
    <w:rsid w:val="001E3F92"/>
    <w:rsid w:val="00232BD1"/>
    <w:rsid w:val="002348F7"/>
    <w:rsid w:val="00241D85"/>
    <w:rsid w:val="00246B15"/>
    <w:rsid w:val="00255B11"/>
    <w:rsid w:val="00263245"/>
    <w:rsid w:val="00290335"/>
    <w:rsid w:val="002A3A80"/>
    <w:rsid w:val="002B327A"/>
    <w:rsid w:val="002C00B0"/>
    <w:rsid w:val="002D78C5"/>
    <w:rsid w:val="002E6177"/>
    <w:rsid w:val="002F19F8"/>
    <w:rsid w:val="002F71F2"/>
    <w:rsid w:val="003063DB"/>
    <w:rsid w:val="0031760C"/>
    <w:rsid w:val="00333220"/>
    <w:rsid w:val="00375D1D"/>
    <w:rsid w:val="00394731"/>
    <w:rsid w:val="003C0907"/>
    <w:rsid w:val="003D1B0D"/>
    <w:rsid w:val="003E1838"/>
    <w:rsid w:val="003E608C"/>
    <w:rsid w:val="00404A9A"/>
    <w:rsid w:val="00412767"/>
    <w:rsid w:val="00415F5E"/>
    <w:rsid w:val="004242C7"/>
    <w:rsid w:val="00441B37"/>
    <w:rsid w:val="00467C49"/>
    <w:rsid w:val="00482BE3"/>
    <w:rsid w:val="00483235"/>
    <w:rsid w:val="004A37B7"/>
    <w:rsid w:val="004B7A27"/>
    <w:rsid w:val="004C3669"/>
    <w:rsid w:val="004C41CE"/>
    <w:rsid w:val="004F216B"/>
    <w:rsid w:val="00511BE7"/>
    <w:rsid w:val="00540BAD"/>
    <w:rsid w:val="0055510C"/>
    <w:rsid w:val="0055732C"/>
    <w:rsid w:val="00562279"/>
    <w:rsid w:val="00575298"/>
    <w:rsid w:val="00590542"/>
    <w:rsid w:val="0059587A"/>
    <w:rsid w:val="005B287B"/>
    <w:rsid w:val="005B5252"/>
    <w:rsid w:val="005C519D"/>
    <w:rsid w:val="005F25D7"/>
    <w:rsid w:val="005F6907"/>
    <w:rsid w:val="00604B05"/>
    <w:rsid w:val="006174B2"/>
    <w:rsid w:val="00633DF0"/>
    <w:rsid w:val="00655FD3"/>
    <w:rsid w:val="00671A69"/>
    <w:rsid w:val="00671ACF"/>
    <w:rsid w:val="00686E7E"/>
    <w:rsid w:val="006942E1"/>
    <w:rsid w:val="006D763E"/>
    <w:rsid w:val="00724FCD"/>
    <w:rsid w:val="00733A48"/>
    <w:rsid w:val="0073451D"/>
    <w:rsid w:val="00746C8B"/>
    <w:rsid w:val="00770CEA"/>
    <w:rsid w:val="00775884"/>
    <w:rsid w:val="00782065"/>
    <w:rsid w:val="00783361"/>
    <w:rsid w:val="007A2DB9"/>
    <w:rsid w:val="007A6DF6"/>
    <w:rsid w:val="007A72C2"/>
    <w:rsid w:val="007B2DE0"/>
    <w:rsid w:val="007F0C24"/>
    <w:rsid w:val="007F5BC6"/>
    <w:rsid w:val="00803BA7"/>
    <w:rsid w:val="008333FA"/>
    <w:rsid w:val="00841B40"/>
    <w:rsid w:val="008435B3"/>
    <w:rsid w:val="0085223A"/>
    <w:rsid w:val="00855F99"/>
    <w:rsid w:val="0086019D"/>
    <w:rsid w:val="00871B87"/>
    <w:rsid w:val="00874B2B"/>
    <w:rsid w:val="008865F1"/>
    <w:rsid w:val="008A1268"/>
    <w:rsid w:val="008D41D1"/>
    <w:rsid w:val="008F78E2"/>
    <w:rsid w:val="00913535"/>
    <w:rsid w:val="009255CF"/>
    <w:rsid w:val="00932CE3"/>
    <w:rsid w:val="009333E9"/>
    <w:rsid w:val="0097680B"/>
    <w:rsid w:val="0098140E"/>
    <w:rsid w:val="00994A64"/>
    <w:rsid w:val="009A1808"/>
    <w:rsid w:val="009A4C8C"/>
    <w:rsid w:val="009B01B3"/>
    <w:rsid w:val="009B47FC"/>
    <w:rsid w:val="009C4952"/>
    <w:rsid w:val="00A47986"/>
    <w:rsid w:val="00A67B13"/>
    <w:rsid w:val="00A8723C"/>
    <w:rsid w:val="00A92691"/>
    <w:rsid w:val="00AA1FFB"/>
    <w:rsid w:val="00AD4479"/>
    <w:rsid w:val="00AE2C7A"/>
    <w:rsid w:val="00AF7E66"/>
    <w:rsid w:val="00B1263A"/>
    <w:rsid w:val="00B342E7"/>
    <w:rsid w:val="00B56EA0"/>
    <w:rsid w:val="00B62AF8"/>
    <w:rsid w:val="00B77171"/>
    <w:rsid w:val="00B92207"/>
    <w:rsid w:val="00BB0359"/>
    <w:rsid w:val="00BC4075"/>
    <w:rsid w:val="00BD7CA9"/>
    <w:rsid w:val="00BE54C2"/>
    <w:rsid w:val="00C23B0A"/>
    <w:rsid w:val="00C23E86"/>
    <w:rsid w:val="00C72FDB"/>
    <w:rsid w:val="00C74BE0"/>
    <w:rsid w:val="00C97601"/>
    <w:rsid w:val="00CA4029"/>
    <w:rsid w:val="00CB6D8C"/>
    <w:rsid w:val="00CB725C"/>
    <w:rsid w:val="00CC7A48"/>
    <w:rsid w:val="00CD3E45"/>
    <w:rsid w:val="00CF0484"/>
    <w:rsid w:val="00CF7096"/>
    <w:rsid w:val="00D06FB1"/>
    <w:rsid w:val="00D17963"/>
    <w:rsid w:val="00D41BBB"/>
    <w:rsid w:val="00D5339C"/>
    <w:rsid w:val="00D66396"/>
    <w:rsid w:val="00D709E7"/>
    <w:rsid w:val="00D74846"/>
    <w:rsid w:val="00D90777"/>
    <w:rsid w:val="00DA543E"/>
    <w:rsid w:val="00DB09F9"/>
    <w:rsid w:val="00DB40C3"/>
    <w:rsid w:val="00DC2227"/>
    <w:rsid w:val="00DD4750"/>
    <w:rsid w:val="00DE7EA3"/>
    <w:rsid w:val="00E036D5"/>
    <w:rsid w:val="00E03F3F"/>
    <w:rsid w:val="00E14235"/>
    <w:rsid w:val="00E1758F"/>
    <w:rsid w:val="00E26258"/>
    <w:rsid w:val="00E3239D"/>
    <w:rsid w:val="00EA6610"/>
    <w:rsid w:val="00EB0438"/>
    <w:rsid w:val="00EC39E4"/>
    <w:rsid w:val="00EC408A"/>
    <w:rsid w:val="00EE2815"/>
    <w:rsid w:val="00EF10F3"/>
    <w:rsid w:val="00F024CF"/>
    <w:rsid w:val="00F5561E"/>
    <w:rsid w:val="00F70157"/>
    <w:rsid w:val="00F72626"/>
    <w:rsid w:val="00F8180A"/>
    <w:rsid w:val="00FA7077"/>
    <w:rsid w:val="00FA78D0"/>
    <w:rsid w:val="00FB4388"/>
    <w:rsid w:val="00FC0F34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B4D9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388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qFormat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C72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DB"/>
  </w:style>
  <w:style w:type="table" w:styleId="TableGrid">
    <w:name w:val="Table Grid"/>
    <w:basedOn w:val="TableNormal"/>
    <w:uiPriority w:val="39"/>
    <w:rsid w:val="00FB438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FB4388"/>
    <w:rPr>
      <w:rFonts w:ascii="Helvetica" w:hAnsi="Helvetica" w:cs="Times New Roman"/>
      <w:color w:val="323333"/>
      <w:sz w:val="20"/>
      <w:szCs w:val="20"/>
    </w:rPr>
  </w:style>
  <w:style w:type="character" w:customStyle="1" w:styleId="s1">
    <w:name w:val="s1"/>
    <w:basedOn w:val="DefaultParagraphFont"/>
    <w:rsid w:val="00FB4388"/>
  </w:style>
  <w:style w:type="character" w:styleId="CommentReference">
    <w:name w:val="annotation reference"/>
    <w:basedOn w:val="DefaultParagraphFont"/>
    <w:uiPriority w:val="99"/>
    <w:semiHidden/>
    <w:unhideWhenUsed/>
    <w:rsid w:val="00150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4B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F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6C68-6EE4-1941-8EA4-CCFEDA9C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Holly Millward</cp:lastModifiedBy>
  <cp:revision>2</cp:revision>
  <cp:lastPrinted>2016-01-15T15:38:00Z</cp:lastPrinted>
  <dcterms:created xsi:type="dcterms:W3CDTF">2017-03-17T09:16:00Z</dcterms:created>
  <dcterms:modified xsi:type="dcterms:W3CDTF">2017-03-17T09:16:00Z</dcterms:modified>
</cp:coreProperties>
</file>