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96" w:rsidRPr="00A24F1A" w:rsidRDefault="00567210" w:rsidP="00567210">
      <w:pPr>
        <w:pStyle w:val="Heading1"/>
        <w:rPr>
          <w:rFonts w:asciiTheme="minorHAnsi" w:hAnsiTheme="minorHAnsi"/>
        </w:rPr>
      </w:pPr>
      <w:r w:rsidRPr="00A24F1A">
        <w:rPr>
          <w:rFonts w:asciiTheme="minorHAnsi" w:hAnsiTheme="minorHAnsi"/>
        </w:rPr>
        <w:t xml:space="preserve">TSC Support Team Report – March 2016 </w:t>
      </w:r>
    </w:p>
    <w:p w:rsidR="00567210" w:rsidRPr="00A24F1A" w:rsidRDefault="00C96147" w:rsidP="00567210">
      <w:pPr>
        <w:pStyle w:val="Heading2"/>
        <w:rPr>
          <w:rFonts w:asciiTheme="minorHAnsi" w:hAnsiTheme="minorHAnsi"/>
          <w:b/>
        </w:rPr>
      </w:pPr>
      <w:r w:rsidRPr="00A24F1A">
        <w:rPr>
          <w:rFonts w:asciiTheme="minorHAnsi" w:hAnsiTheme="minorHAnsi"/>
        </w:rPr>
        <w:br/>
      </w:r>
      <w:r w:rsidR="00567210" w:rsidRPr="00A24F1A">
        <w:rPr>
          <w:rFonts w:asciiTheme="minorHAnsi" w:hAnsiTheme="minorHAnsi"/>
          <w:b/>
        </w:rPr>
        <w:t>Key achievements in 2015</w:t>
      </w:r>
    </w:p>
    <w:p w:rsidR="00567210" w:rsidRPr="00A24F1A" w:rsidRDefault="00C96147" w:rsidP="00C96147">
      <w:pPr>
        <w:pStyle w:val="Heading3"/>
        <w:rPr>
          <w:rFonts w:asciiTheme="minorHAnsi" w:hAnsiTheme="minorHAnsi"/>
        </w:rPr>
      </w:pPr>
      <w:r w:rsidRPr="00A24F1A">
        <w:rPr>
          <w:rFonts w:asciiTheme="minorHAnsi" w:hAnsiTheme="minorHAnsi"/>
        </w:rPr>
        <w:br/>
      </w:r>
      <w:r w:rsidR="00567210" w:rsidRPr="00A24F1A">
        <w:rPr>
          <w:rFonts w:asciiTheme="minorHAnsi" w:hAnsiTheme="minorHAnsi"/>
        </w:rPr>
        <w:t xml:space="preserve">Mentoring </w:t>
      </w:r>
    </w:p>
    <w:p w:rsidR="00567210" w:rsidRPr="00A24F1A" w:rsidRDefault="003A67D7" w:rsidP="003A67D7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 w:rsidRPr="00A24F1A">
        <w:rPr>
          <w:rFonts w:asciiTheme="minorHAnsi" w:hAnsiTheme="minorHAnsi"/>
        </w:rPr>
        <w:t>The TSC Support Team mentored nine new TSCs, in the UK, Australia, and Denmark, th</w:t>
      </w:r>
      <w:r w:rsidR="00482E18">
        <w:rPr>
          <w:rFonts w:asciiTheme="minorHAnsi" w:hAnsiTheme="minorHAnsi"/>
        </w:rPr>
        <w:t>r</w:t>
      </w:r>
      <w:r w:rsidRPr="00A24F1A">
        <w:rPr>
          <w:rFonts w:asciiTheme="minorHAnsi" w:hAnsiTheme="minorHAnsi"/>
        </w:rPr>
        <w:t xml:space="preserve">ough multiple remote training sessions and visits to the editorial base in some cases. </w:t>
      </w:r>
    </w:p>
    <w:p w:rsidR="00A175C6" w:rsidRPr="00A24F1A" w:rsidRDefault="003A67D7" w:rsidP="00A175C6">
      <w:pPr>
        <w:pStyle w:val="Heading3"/>
        <w:rPr>
          <w:rFonts w:asciiTheme="minorHAnsi" w:hAnsiTheme="minorHAnsi"/>
        </w:rPr>
      </w:pPr>
      <w:r w:rsidRPr="00A24F1A">
        <w:rPr>
          <w:rFonts w:asciiTheme="minorHAnsi" w:hAnsiTheme="minorHAnsi"/>
        </w:rPr>
        <w:br/>
        <w:t>R</w:t>
      </w:r>
      <w:r w:rsidR="00A175C6" w:rsidRPr="00A24F1A">
        <w:rPr>
          <w:rFonts w:asciiTheme="minorHAnsi" w:hAnsiTheme="minorHAnsi"/>
        </w:rPr>
        <w:t>esources for TSCs</w:t>
      </w:r>
    </w:p>
    <w:p w:rsidR="003A67D7" w:rsidRPr="00A24F1A" w:rsidRDefault="0065071C" w:rsidP="00175C1F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Revising the Mentoring Guide,</w:t>
      </w:r>
      <w:r w:rsidR="003A67D7" w:rsidRPr="00A24F1A">
        <w:rPr>
          <w:rFonts w:asciiTheme="minorHAnsi" w:hAnsiTheme="minorHAnsi"/>
        </w:rPr>
        <w:t xml:space="preserve"> incorporat</w:t>
      </w:r>
      <w:r w:rsidR="002939E3" w:rsidRPr="00A24F1A">
        <w:rPr>
          <w:rFonts w:asciiTheme="minorHAnsi" w:hAnsiTheme="minorHAnsi"/>
        </w:rPr>
        <w:t>ing it</w:t>
      </w:r>
      <w:r w:rsidR="003A67D7" w:rsidRPr="00A24F1A">
        <w:rPr>
          <w:rFonts w:asciiTheme="minorHAnsi" w:hAnsiTheme="minorHAnsi"/>
        </w:rPr>
        <w:t xml:space="preserve"> into the updated</w:t>
      </w:r>
      <w:r w:rsidR="00567210" w:rsidRPr="00A24F1A">
        <w:rPr>
          <w:rFonts w:asciiTheme="minorHAnsi" w:hAnsiTheme="minorHAnsi"/>
        </w:rPr>
        <w:t xml:space="preserve"> TSC Guide</w:t>
      </w:r>
      <w:r w:rsidR="002939E3" w:rsidRPr="00A24F1A">
        <w:rPr>
          <w:rFonts w:asciiTheme="minorHAnsi" w:hAnsiTheme="minorHAnsi"/>
        </w:rPr>
        <w:t xml:space="preserve"> and publishing the</w:t>
      </w:r>
      <w:r w:rsidR="003A67D7" w:rsidRPr="00A24F1A">
        <w:rPr>
          <w:rFonts w:asciiTheme="minorHAnsi" w:hAnsiTheme="minorHAnsi"/>
        </w:rPr>
        <w:t xml:space="preserve"> new </w:t>
      </w:r>
      <w:r w:rsidR="002939E3" w:rsidRPr="00A24F1A">
        <w:rPr>
          <w:rFonts w:asciiTheme="minorHAnsi" w:hAnsiTheme="minorHAnsi"/>
        </w:rPr>
        <w:t xml:space="preserve">TSC Guide </w:t>
      </w:r>
      <w:r w:rsidR="003A67D7" w:rsidRPr="00A24F1A">
        <w:rPr>
          <w:rFonts w:asciiTheme="minorHAnsi" w:hAnsiTheme="minorHAnsi"/>
        </w:rPr>
        <w:t>on t</w:t>
      </w:r>
      <w:r w:rsidR="00C96147" w:rsidRPr="00A24F1A">
        <w:rPr>
          <w:rFonts w:asciiTheme="minorHAnsi" w:hAnsiTheme="minorHAnsi"/>
        </w:rPr>
        <w:t>he TSC portal</w:t>
      </w:r>
      <w:r w:rsidR="003A67D7" w:rsidRPr="00A24F1A">
        <w:rPr>
          <w:rFonts w:asciiTheme="minorHAnsi" w:hAnsiTheme="minorHAnsi"/>
        </w:rPr>
        <w:t xml:space="preserve">. </w:t>
      </w:r>
    </w:p>
    <w:p w:rsidR="00A83FF3" w:rsidRPr="00A24F1A" w:rsidRDefault="00A83FF3" w:rsidP="00A83FF3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Working with the Cochrane Training team to improve the structure of the new TSC Guide and make it available on the Cochrane training site. </w:t>
      </w:r>
    </w:p>
    <w:p w:rsidR="003A67D7" w:rsidRPr="00A24F1A" w:rsidRDefault="00DD7ACF" w:rsidP="003A67D7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Improving the existing</w:t>
      </w:r>
      <w:r w:rsidR="003A67D7" w:rsidRPr="00A24F1A">
        <w:rPr>
          <w:rFonts w:asciiTheme="minorHAnsi" w:hAnsiTheme="minorHAnsi"/>
        </w:rPr>
        <w:t xml:space="preserve"> TSC portal (Portal 1.0) through the addition of new internal and external resources. </w:t>
      </w:r>
    </w:p>
    <w:p w:rsidR="0013284C" w:rsidRPr="00A24F1A" w:rsidRDefault="00DD7ACF" w:rsidP="003A67D7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Developing</w:t>
      </w:r>
      <w:r w:rsidR="003A67D7" w:rsidRPr="00A24F1A">
        <w:rPr>
          <w:rFonts w:asciiTheme="minorHAnsi" w:hAnsiTheme="minorHAnsi"/>
        </w:rPr>
        <w:t xml:space="preserve"> </w:t>
      </w:r>
      <w:r w:rsidR="0013284C" w:rsidRPr="00A24F1A">
        <w:rPr>
          <w:rFonts w:asciiTheme="minorHAnsi" w:hAnsiTheme="minorHAnsi"/>
        </w:rPr>
        <w:t xml:space="preserve">new content </w:t>
      </w:r>
      <w:r w:rsidR="003A67D7" w:rsidRPr="00A24F1A">
        <w:rPr>
          <w:rFonts w:asciiTheme="minorHAnsi" w:hAnsiTheme="minorHAnsi"/>
        </w:rPr>
        <w:t xml:space="preserve">and </w:t>
      </w:r>
      <w:r w:rsidR="009949E7">
        <w:rPr>
          <w:rFonts w:asciiTheme="minorHAnsi" w:hAnsiTheme="minorHAnsi"/>
        </w:rPr>
        <w:t xml:space="preserve">a new </w:t>
      </w:r>
      <w:r w:rsidR="0013284C" w:rsidRPr="00A24F1A">
        <w:rPr>
          <w:rFonts w:asciiTheme="minorHAnsi" w:hAnsiTheme="minorHAnsi"/>
        </w:rPr>
        <w:t>structure for TSC Portal 2.0, including mapping and tagging of existing Portal 1.0 content</w:t>
      </w:r>
      <w:r w:rsidR="003A67D7" w:rsidRPr="00A24F1A">
        <w:rPr>
          <w:rFonts w:asciiTheme="minorHAnsi" w:hAnsiTheme="minorHAnsi"/>
        </w:rPr>
        <w:t>.</w:t>
      </w:r>
    </w:p>
    <w:p w:rsidR="0013284C" w:rsidRDefault="009949E7" w:rsidP="003A67D7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Liaising</w:t>
      </w:r>
      <w:r w:rsidR="0013284C" w:rsidRPr="00A24F1A">
        <w:rPr>
          <w:rFonts w:asciiTheme="minorHAnsi" w:hAnsiTheme="minorHAnsi"/>
        </w:rPr>
        <w:t xml:space="preserve"> with Nancy Owens </w:t>
      </w:r>
      <w:r w:rsidR="003A67D7" w:rsidRPr="00A24F1A">
        <w:rPr>
          <w:rFonts w:asciiTheme="minorHAnsi" w:hAnsiTheme="minorHAnsi"/>
        </w:rPr>
        <w:t xml:space="preserve">(CEAD) </w:t>
      </w:r>
      <w:r w:rsidR="0013284C" w:rsidRPr="00A24F1A">
        <w:rPr>
          <w:rFonts w:asciiTheme="minorHAnsi" w:hAnsiTheme="minorHAnsi"/>
        </w:rPr>
        <w:t>re</w:t>
      </w:r>
      <w:r w:rsidR="003A67D7" w:rsidRPr="00A24F1A">
        <w:rPr>
          <w:rFonts w:asciiTheme="minorHAnsi" w:hAnsiTheme="minorHAnsi"/>
        </w:rPr>
        <w:t>garding p</w:t>
      </w:r>
      <w:r w:rsidR="0013284C" w:rsidRPr="00A24F1A">
        <w:rPr>
          <w:rFonts w:asciiTheme="minorHAnsi" w:hAnsiTheme="minorHAnsi"/>
        </w:rPr>
        <w:t>ossible use of Portal 2.0 as a pilot for the new Cochrane Community site</w:t>
      </w:r>
    </w:p>
    <w:p w:rsidR="00C96147" w:rsidRPr="00A24F1A" w:rsidRDefault="0013284C" w:rsidP="00C96147">
      <w:pPr>
        <w:pStyle w:val="Heading3"/>
        <w:rPr>
          <w:rFonts w:asciiTheme="minorHAnsi" w:hAnsiTheme="minorHAnsi"/>
        </w:rPr>
      </w:pPr>
      <w:r w:rsidRPr="00A24F1A">
        <w:rPr>
          <w:rFonts w:asciiTheme="minorHAnsi" w:hAnsiTheme="minorHAnsi"/>
        </w:rPr>
        <w:br/>
      </w:r>
      <w:r w:rsidR="00A24F1A">
        <w:rPr>
          <w:rFonts w:asciiTheme="minorHAnsi" w:hAnsiTheme="minorHAnsi"/>
        </w:rPr>
        <w:t>CRS-</w:t>
      </w:r>
      <w:r w:rsidR="00C96147" w:rsidRPr="00A24F1A">
        <w:rPr>
          <w:rFonts w:asciiTheme="minorHAnsi" w:hAnsiTheme="minorHAnsi"/>
        </w:rPr>
        <w:t>Web</w:t>
      </w:r>
      <w:r w:rsidR="00A24F1A">
        <w:rPr>
          <w:rFonts w:asciiTheme="minorHAnsi" w:hAnsiTheme="minorHAnsi"/>
        </w:rPr>
        <w:t xml:space="preserve"> (CRS-W)</w:t>
      </w:r>
      <w:r w:rsidR="00C96147" w:rsidRPr="00A24F1A">
        <w:rPr>
          <w:rFonts w:asciiTheme="minorHAnsi" w:hAnsiTheme="minorHAnsi"/>
        </w:rPr>
        <w:t xml:space="preserve"> </w:t>
      </w:r>
      <w:r w:rsidR="00A175C6" w:rsidRPr="00A24F1A">
        <w:rPr>
          <w:rFonts w:asciiTheme="minorHAnsi" w:hAnsiTheme="minorHAnsi"/>
        </w:rPr>
        <w:t>&amp; HarmoniSR</w:t>
      </w:r>
    </w:p>
    <w:p w:rsidR="002939E3" w:rsidRPr="00A24F1A" w:rsidRDefault="00C96147" w:rsidP="002939E3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A24F1A">
        <w:rPr>
          <w:rFonts w:asciiTheme="minorHAnsi" w:hAnsiTheme="minorHAnsi"/>
        </w:rPr>
        <w:t xml:space="preserve">Planning and co-facilitating </w:t>
      </w:r>
      <w:r w:rsidR="00A24F1A">
        <w:rPr>
          <w:rFonts w:asciiTheme="minorHAnsi" w:hAnsiTheme="minorHAnsi"/>
        </w:rPr>
        <w:t>CRS-W</w:t>
      </w:r>
      <w:r w:rsidR="00A24F1A" w:rsidRPr="00A24F1A">
        <w:rPr>
          <w:rFonts w:asciiTheme="minorHAnsi" w:hAnsiTheme="minorHAnsi"/>
        </w:rPr>
        <w:t xml:space="preserve"> </w:t>
      </w:r>
      <w:r w:rsidR="00567210" w:rsidRPr="00A24F1A">
        <w:rPr>
          <w:rFonts w:asciiTheme="minorHAnsi" w:hAnsiTheme="minorHAnsi"/>
        </w:rPr>
        <w:t xml:space="preserve">training days </w:t>
      </w:r>
      <w:r w:rsidRPr="00A24F1A">
        <w:rPr>
          <w:rFonts w:asciiTheme="minorHAnsi" w:hAnsiTheme="minorHAnsi"/>
        </w:rPr>
        <w:t>with Metaxis in Dublin and Vienna</w:t>
      </w:r>
    </w:p>
    <w:p w:rsidR="002939E3" w:rsidRPr="00A24F1A" w:rsidRDefault="002939E3" w:rsidP="002939E3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A24F1A">
        <w:rPr>
          <w:rFonts w:asciiTheme="minorHAnsi" w:hAnsiTheme="minorHAnsi"/>
        </w:rPr>
        <w:t>Contributing to the UXG sub group on decisions for developing CRS</w:t>
      </w:r>
    </w:p>
    <w:p w:rsidR="002939E3" w:rsidRPr="00A24F1A" w:rsidRDefault="002939E3" w:rsidP="002939E3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A24F1A">
        <w:rPr>
          <w:rFonts w:asciiTheme="minorHAnsi" w:hAnsiTheme="minorHAnsi"/>
        </w:rPr>
        <w:t>Managing three rounds of CRS-W alpha testing in June, August and November 2015, including recruitment of testers, creation draft feedback forms, liaison between testers and Metaxis.</w:t>
      </w:r>
    </w:p>
    <w:p w:rsidR="00C96147" w:rsidRPr="00A24F1A" w:rsidRDefault="00C96147" w:rsidP="002939E3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 w:rsidRPr="00A24F1A">
        <w:rPr>
          <w:rFonts w:asciiTheme="minorHAnsi" w:hAnsiTheme="minorHAnsi"/>
        </w:rPr>
        <w:t xml:space="preserve">Taking part in early </w:t>
      </w:r>
      <w:r w:rsidR="00A24F1A">
        <w:rPr>
          <w:rFonts w:asciiTheme="minorHAnsi" w:hAnsiTheme="minorHAnsi"/>
        </w:rPr>
        <w:t>CRS-W</w:t>
      </w:r>
      <w:r w:rsidRPr="00A24F1A">
        <w:rPr>
          <w:rFonts w:asciiTheme="minorHAnsi" w:hAnsiTheme="minorHAnsi"/>
        </w:rPr>
        <w:t xml:space="preserve"> testing, providing feedback and working to improve functionality e.g. around import and export filters and HarmoniSR compliance</w:t>
      </w:r>
    </w:p>
    <w:p w:rsidR="00227E02" w:rsidRPr="00A24F1A" w:rsidRDefault="003A67D7" w:rsidP="002939E3">
      <w:pPr>
        <w:pStyle w:val="ListParagraph"/>
        <w:numPr>
          <w:ilvl w:val="0"/>
          <w:numId w:val="13"/>
        </w:numPr>
        <w:rPr>
          <w:rFonts w:asciiTheme="minorHAnsi" w:hAnsiTheme="minorHAnsi"/>
          <w:b/>
        </w:rPr>
      </w:pPr>
      <w:r w:rsidRPr="00A24F1A">
        <w:rPr>
          <w:rFonts w:asciiTheme="minorHAnsi" w:hAnsiTheme="minorHAnsi"/>
        </w:rPr>
        <w:t>Working with the</w:t>
      </w:r>
      <w:r w:rsidR="00227E02" w:rsidRPr="00A24F1A">
        <w:rPr>
          <w:rFonts w:asciiTheme="minorHAnsi" w:hAnsiTheme="minorHAnsi"/>
        </w:rPr>
        <w:t xml:space="preserve"> HarmoniSR group to finalise the guidance on core fields for references and study records, contributing to the writing</w:t>
      </w:r>
      <w:r w:rsidR="002939E3" w:rsidRPr="00A24F1A">
        <w:rPr>
          <w:rFonts w:asciiTheme="minorHAnsi" w:hAnsiTheme="minorHAnsi"/>
        </w:rPr>
        <w:t xml:space="preserve"> of the supporting documents,</w:t>
      </w:r>
      <w:r w:rsidR="00227E02" w:rsidRPr="00A24F1A">
        <w:rPr>
          <w:rFonts w:asciiTheme="minorHAnsi" w:hAnsiTheme="minorHAnsi"/>
        </w:rPr>
        <w:t xml:space="preserve"> disseminating the guidance</w:t>
      </w:r>
      <w:r w:rsidR="002939E3" w:rsidRPr="00A24F1A">
        <w:rPr>
          <w:rFonts w:asciiTheme="minorHAnsi" w:hAnsiTheme="minorHAnsi"/>
        </w:rPr>
        <w:t xml:space="preserve"> and ensuring that guidance is </w:t>
      </w:r>
      <w:r w:rsidR="002939E3" w:rsidRPr="00A24F1A">
        <w:rPr>
          <w:rFonts w:asciiTheme="minorHAnsi" w:eastAsia="Times New Roman" w:hAnsiTheme="minorHAnsi"/>
          <w:color w:val="000000"/>
          <w:sz w:val="21"/>
          <w:szCs w:val="21"/>
        </w:rPr>
        <w:t>implemented in CRS-W</w:t>
      </w:r>
    </w:p>
    <w:p w:rsidR="002939E3" w:rsidRPr="00A24F1A" w:rsidRDefault="002939E3" w:rsidP="00C96147">
      <w:pPr>
        <w:pStyle w:val="Heading3"/>
        <w:rPr>
          <w:rFonts w:asciiTheme="minorHAnsi" w:hAnsiTheme="minorHAnsi"/>
        </w:rPr>
      </w:pPr>
    </w:p>
    <w:p w:rsidR="007D6D93" w:rsidRPr="00A24F1A" w:rsidRDefault="007D6D93" w:rsidP="007D6D93">
      <w:pPr>
        <w:pStyle w:val="Heading3"/>
        <w:rPr>
          <w:rFonts w:asciiTheme="minorHAnsi" w:hAnsiTheme="minorHAnsi"/>
        </w:rPr>
      </w:pPr>
      <w:r w:rsidRPr="00A24F1A">
        <w:rPr>
          <w:rFonts w:asciiTheme="minorHAnsi" w:hAnsiTheme="minorHAnsi"/>
        </w:rPr>
        <w:t>Communicating with the TSC community and beyond</w:t>
      </w:r>
    </w:p>
    <w:p w:rsidR="007D6D93" w:rsidRPr="00A24F1A" w:rsidRDefault="007D6D93" w:rsidP="007D6D93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A24F1A">
        <w:rPr>
          <w:rFonts w:asciiTheme="minorHAnsi" w:hAnsiTheme="minorHAnsi"/>
        </w:rPr>
        <w:t>Creating content for a regular TSC Digest email</w:t>
      </w:r>
    </w:p>
    <w:p w:rsidR="007D6D93" w:rsidRPr="00CC4C3A" w:rsidRDefault="007D6D93" w:rsidP="007D6D93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CC4C3A">
        <w:rPr>
          <w:rFonts w:asciiTheme="minorHAnsi" w:hAnsiTheme="minorHAnsi"/>
        </w:rPr>
        <w:t xml:space="preserve">Publishing </w:t>
      </w:r>
      <w:r w:rsidR="00482E18" w:rsidRPr="00CC4C3A">
        <w:rPr>
          <w:rFonts w:asciiTheme="minorHAnsi" w:hAnsiTheme="minorHAnsi"/>
        </w:rPr>
        <w:t>7</w:t>
      </w:r>
      <w:r w:rsidRPr="00CC4C3A">
        <w:rPr>
          <w:rFonts w:asciiTheme="minorHAnsi" w:hAnsiTheme="minorHAnsi"/>
        </w:rPr>
        <w:t xml:space="preserve"> digest</w:t>
      </w:r>
      <w:r w:rsidR="00A24F1A" w:rsidRPr="00CC4C3A">
        <w:rPr>
          <w:rFonts w:asciiTheme="minorHAnsi" w:hAnsiTheme="minorHAnsi"/>
        </w:rPr>
        <w:t>s</w:t>
      </w:r>
      <w:r w:rsidRPr="00CC4C3A">
        <w:rPr>
          <w:rFonts w:asciiTheme="minorHAnsi" w:hAnsiTheme="minorHAnsi"/>
        </w:rPr>
        <w:t xml:space="preserve"> in 2015</w:t>
      </w:r>
    </w:p>
    <w:p w:rsidR="007D6D93" w:rsidRPr="00A24F1A" w:rsidRDefault="007D6D93" w:rsidP="007D6D93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A24F1A">
        <w:rPr>
          <w:rFonts w:asciiTheme="minorHAnsi" w:hAnsiTheme="minorHAnsi"/>
        </w:rPr>
        <w:t>Surveying TSCs in May 2015 about what tasks the TSC Support Team should focus as priorities</w:t>
      </w:r>
    </w:p>
    <w:p w:rsidR="007D6D93" w:rsidRPr="00A24F1A" w:rsidRDefault="007D6D93" w:rsidP="007D6D93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A24F1A">
        <w:rPr>
          <w:rFonts w:asciiTheme="minorHAnsi" w:hAnsiTheme="minorHAnsi"/>
        </w:rPr>
        <w:t>Surveying TSCs about on access to databases for systematic review searching with an 88% response rate</w:t>
      </w:r>
    </w:p>
    <w:p w:rsidR="007D6D93" w:rsidRPr="00A24F1A" w:rsidRDefault="004F2945" w:rsidP="007D6D93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Liaising with TSC E</w:t>
      </w:r>
      <w:r w:rsidR="007D6D93" w:rsidRPr="00A24F1A">
        <w:rPr>
          <w:rFonts w:asciiTheme="minorHAnsi" w:hAnsiTheme="minorHAnsi"/>
        </w:rPr>
        <w:t>xec</w:t>
      </w:r>
      <w:r>
        <w:rPr>
          <w:rFonts w:asciiTheme="minorHAnsi" w:hAnsiTheme="minorHAnsi"/>
        </w:rPr>
        <w:t>utive</w:t>
      </w:r>
      <w:r w:rsidR="007D6D93" w:rsidRPr="00A24F1A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 xml:space="preserve">the Cochrane Editorial Unit, the </w:t>
      </w:r>
      <w:r w:rsidR="007D6D93" w:rsidRPr="00A24F1A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ommunications &amp; </w:t>
      </w:r>
      <w:r w:rsidR="007D6D93" w:rsidRPr="00A24F1A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xternal </w:t>
      </w:r>
      <w:r w:rsidR="007D6D93" w:rsidRPr="00A24F1A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ffairs </w:t>
      </w:r>
      <w:r w:rsidR="007D6D93" w:rsidRPr="00A24F1A">
        <w:rPr>
          <w:rFonts w:asciiTheme="minorHAnsi" w:hAnsiTheme="minorHAnsi"/>
        </w:rPr>
        <w:t>D</w:t>
      </w:r>
      <w:r>
        <w:rPr>
          <w:rFonts w:asciiTheme="minorHAnsi" w:hAnsiTheme="minorHAnsi"/>
        </w:rPr>
        <w:t>epartment</w:t>
      </w:r>
      <w:r w:rsidR="007D6D93" w:rsidRPr="00A24F1A">
        <w:rPr>
          <w:rFonts w:asciiTheme="minorHAnsi" w:hAnsiTheme="minorHAnsi"/>
        </w:rPr>
        <w:t xml:space="preserve">, and </w:t>
      </w:r>
      <w:r>
        <w:rPr>
          <w:rFonts w:asciiTheme="minorHAnsi" w:hAnsiTheme="minorHAnsi"/>
        </w:rPr>
        <w:t xml:space="preserve">the </w:t>
      </w:r>
      <w:r w:rsidR="007D6D93" w:rsidRPr="00A24F1A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nformatics &amp; </w:t>
      </w:r>
      <w:r w:rsidR="007D6D93" w:rsidRPr="00A24F1A">
        <w:rPr>
          <w:rFonts w:asciiTheme="minorHAnsi" w:hAnsiTheme="minorHAnsi"/>
        </w:rPr>
        <w:t>K</w:t>
      </w:r>
      <w:r>
        <w:rPr>
          <w:rFonts w:asciiTheme="minorHAnsi" w:hAnsiTheme="minorHAnsi"/>
        </w:rPr>
        <w:t xml:space="preserve">nowledge </w:t>
      </w:r>
      <w:r w:rsidR="007D6D93" w:rsidRPr="00A24F1A">
        <w:rPr>
          <w:rFonts w:asciiTheme="minorHAnsi" w:hAnsiTheme="minorHAnsi"/>
        </w:rPr>
        <w:t>M</w:t>
      </w:r>
      <w:r>
        <w:rPr>
          <w:rFonts w:asciiTheme="minorHAnsi" w:hAnsiTheme="minorHAnsi"/>
        </w:rPr>
        <w:t xml:space="preserve">anagement </w:t>
      </w:r>
      <w:r w:rsidR="007D6D93" w:rsidRPr="00A24F1A">
        <w:rPr>
          <w:rFonts w:asciiTheme="minorHAnsi" w:hAnsiTheme="minorHAnsi"/>
        </w:rPr>
        <w:t>D</w:t>
      </w:r>
      <w:r>
        <w:rPr>
          <w:rFonts w:asciiTheme="minorHAnsi" w:hAnsiTheme="minorHAnsi"/>
        </w:rPr>
        <w:t>epartment</w:t>
      </w:r>
    </w:p>
    <w:p w:rsidR="007D6D93" w:rsidRPr="00A24F1A" w:rsidRDefault="007D6D93" w:rsidP="00C96147">
      <w:pPr>
        <w:pStyle w:val="Heading3"/>
        <w:rPr>
          <w:rFonts w:asciiTheme="minorHAnsi" w:hAnsiTheme="minorHAnsi"/>
        </w:rPr>
      </w:pPr>
    </w:p>
    <w:p w:rsidR="00C96147" w:rsidRPr="00A24F1A" w:rsidRDefault="00C96147" w:rsidP="00C96147">
      <w:pPr>
        <w:pStyle w:val="Heading3"/>
        <w:rPr>
          <w:rFonts w:asciiTheme="minorHAnsi" w:hAnsiTheme="minorHAnsi"/>
        </w:rPr>
      </w:pPr>
      <w:r w:rsidRPr="00A24F1A">
        <w:rPr>
          <w:rFonts w:asciiTheme="minorHAnsi" w:hAnsiTheme="minorHAnsi"/>
        </w:rPr>
        <w:t xml:space="preserve">TSC Help Desk </w:t>
      </w:r>
    </w:p>
    <w:p w:rsidR="0013284C" w:rsidRPr="00A24F1A" w:rsidRDefault="004D3E30" w:rsidP="002939E3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A24F1A">
        <w:rPr>
          <w:rFonts w:asciiTheme="minorHAnsi" w:hAnsiTheme="minorHAnsi"/>
        </w:rPr>
        <w:t>Setting</w:t>
      </w:r>
      <w:r w:rsidR="009072A1">
        <w:rPr>
          <w:rFonts w:asciiTheme="minorHAnsi" w:hAnsiTheme="minorHAnsi"/>
        </w:rPr>
        <w:t>-up</w:t>
      </w:r>
      <w:r w:rsidRPr="00A24F1A">
        <w:rPr>
          <w:rFonts w:asciiTheme="minorHAnsi" w:hAnsiTheme="minorHAnsi"/>
        </w:rPr>
        <w:t xml:space="preserve"> and staffing the TSC support email helpdesk all year round</w:t>
      </w:r>
      <w:r w:rsidR="002939E3" w:rsidRPr="00A24F1A">
        <w:rPr>
          <w:rFonts w:asciiTheme="minorHAnsi" w:hAnsiTheme="minorHAnsi"/>
        </w:rPr>
        <w:t xml:space="preserve"> except for UK public holidays, including triaging queries and referring some questions </w:t>
      </w:r>
      <w:r w:rsidR="0013284C" w:rsidRPr="00A24F1A">
        <w:rPr>
          <w:rFonts w:asciiTheme="minorHAnsi" w:hAnsiTheme="minorHAnsi"/>
        </w:rPr>
        <w:t>to Metaxis as appropriate</w:t>
      </w:r>
    </w:p>
    <w:p w:rsidR="0013284C" w:rsidRPr="00A24F1A" w:rsidRDefault="0013284C" w:rsidP="00C96147"/>
    <w:p w:rsidR="00C96147" w:rsidRPr="00A24F1A" w:rsidRDefault="00B27511" w:rsidP="00C96147">
      <w:pPr>
        <w:pStyle w:val="Heading3"/>
        <w:rPr>
          <w:rFonts w:asciiTheme="minorHAnsi" w:hAnsiTheme="minorHAnsi"/>
        </w:rPr>
      </w:pPr>
      <w:r w:rsidRPr="00A24F1A">
        <w:rPr>
          <w:rFonts w:asciiTheme="minorHAnsi" w:hAnsiTheme="minorHAnsi"/>
        </w:rPr>
        <w:lastRenderedPageBreak/>
        <w:t>Participating in other Cochrane projects</w:t>
      </w:r>
    </w:p>
    <w:p w:rsidR="004D3E30" w:rsidRPr="00A24F1A" w:rsidRDefault="00C96147" w:rsidP="002939E3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A24F1A">
        <w:rPr>
          <w:rFonts w:asciiTheme="minorHAnsi" w:hAnsiTheme="minorHAnsi"/>
        </w:rPr>
        <w:t xml:space="preserve">Contributing a </w:t>
      </w:r>
      <w:r w:rsidR="00B27511" w:rsidRPr="00A24F1A">
        <w:rPr>
          <w:rFonts w:asciiTheme="minorHAnsi" w:hAnsiTheme="minorHAnsi"/>
        </w:rPr>
        <w:t>TSC</w:t>
      </w:r>
      <w:r w:rsidRPr="00A24F1A">
        <w:rPr>
          <w:rFonts w:asciiTheme="minorHAnsi" w:hAnsiTheme="minorHAnsi"/>
        </w:rPr>
        <w:t xml:space="preserve"> view e.g. on the Style Guide</w:t>
      </w:r>
      <w:r w:rsidR="004D3E30" w:rsidRPr="00A24F1A">
        <w:rPr>
          <w:rFonts w:asciiTheme="minorHAnsi" w:hAnsiTheme="minorHAnsi"/>
        </w:rPr>
        <w:t xml:space="preserve"> </w:t>
      </w:r>
    </w:p>
    <w:p w:rsidR="004D3E30" w:rsidRPr="00A24F1A" w:rsidRDefault="002939E3" w:rsidP="004D3E30">
      <w:pPr>
        <w:pStyle w:val="Heading3"/>
        <w:rPr>
          <w:rFonts w:asciiTheme="minorHAnsi" w:hAnsiTheme="minorHAnsi"/>
        </w:rPr>
      </w:pPr>
      <w:r w:rsidRPr="00A24F1A">
        <w:rPr>
          <w:rFonts w:asciiTheme="minorHAnsi" w:hAnsiTheme="minorHAnsi"/>
        </w:rPr>
        <w:br/>
      </w:r>
      <w:r w:rsidR="004D3E30" w:rsidRPr="00A24F1A">
        <w:rPr>
          <w:rFonts w:asciiTheme="minorHAnsi" w:hAnsiTheme="minorHAnsi"/>
        </w:rPr>
        <w:t>Team Management</w:t>
      </w:r>
    </w:p>
    <w:p w:rsidR="002939E3" w:rsidRPr="00A24F1A" w:rsidRDefault="004D3E30" w:rsidP="002939E3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A24F1A">
        <w:rPr>
          <w:rFonts w:asciiTheme="minorHAnsi" w:hAnsiTheme="minorHAnsi"/>
        </w:rPr>
        <w:t xml:space="preserve">The TSC Support Team members are part of the Cochrane Central Executive Team and are managed by the CEU Information Specialist. </w:t>
      </w:r>
    </w:p>
    <w:p w:rsidR="002939E3" w:rsidRPr="00A24F1A" w:rsidRDefault="002939E3" w:rsidP="002939E3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A24F1A">
        <w:rPr>
          <w:rFonts w:asciiTheme="minorHAnsi" w:hAnsiTheme="minorHAnsi"/>
        </w:rPr>
        <w:t>Meeting</w:t>
      </w:r>
      <w:r w:rsidR="004D3E30" w:rsidRPr="00A24F1A">
        <w:rPr>
          <w:rFonts w:asciiTheme="minorHAnsi" w:hAnsiTheme="minorHAnsi"/>
        </w:rPr>
        <w:t xml:space="preserve"> via G</w:t>
      </w:r>
      <w:r w:rsidR="0068183D" w:rsidRPr="00A24F1A">
        <w:rPr>
          <w:rFonts w:asciiTheme="minorHAnsi" w:hAnsiTheme="minorHAnsi"/>
        </w:rPr>
        <w:t>oToMeeting regularly – u</w:t>
      </w:r>
      <w:r w:rsidR="004D3E30" w:rsidRPr="00A24F1A">
        <w:rPr>
          <w:rFonts w:asciiTheme="minorHAnsi" w:hAnsiTheme="minorHAnsi"/>
        </w:rPr>
        <w:t>sually twice a month</w:t>
      </w:r>
      <w:r w:rsidR="0068183D" w:rsidRPr="00A24F1A">
        <w:rPr>
          <w:rFonts w:asciiTheme="minorHAnsi" w:hAnsiTheme="minorHAnsi"/>
        </w:rPr>
        <w:t xml:space="preserve"> – to </w:t>
      </w:r>
      <w:r w:rsidR="004D3E30" w:rsidRPr="00A24F1A">
        <w:rPr>
          <w:rFonts w:asciiTheme="minorHAnsi" w:hAnsiTheme="minorHAnsi"/>
        </w:rPr>
        <w:t xml:space="preserve">discuss and plan projects, share ideas and co-ordinate individual team member activities. </w:t>
      </w:r>
    </w:p>
    <w:p w:rsidR="004D3E30" w:rsidRPr="00A24F1A" w:rsidRDefault="002939E3" w:rsidP="002939E3">
      <w:pPr>
        <w:pStyle w:val="ListParagraph"/>
        <w:numPr>
          <w:ilvl w:val="0"/>
          <w:numId w:val="14"/>
        </w:numPr>
        <w:rPr>
          <w:rFonts w:asciiTheme="minorHAnsi" w:hAnsiTheme="minorHAnsi"/>
        </w:rPr>
      </w:pPr>
      <w:r w:rsidRPr="00A24F1A">
        <w:rPr>
          <w:rFonts w:asciiTheme="minorHAnsi" w:hAnsiTheme="minorHAnsi"/>
        </w:rPr>
        <w:t>Also meeting</w:t>
      </w:r>
      <w:r w:rsidR="0068183D" w:rsidRPr="00A24F1A">
        <w:rPr>
          <w:rFonts w:asciiTheme="minorHAnsi" w:hAnsiTheme="minorHAnsi"/>
        </w:rPr>
        <w:t xml:space="preserve"> face to face twice at colloquia and after the Cochrane mid-year meeting. </w:t>
      </w:r>
    </w:p>
    <w:p w:rsidR="0013284C" w:rsidRPr="00A24F1A" w:rsidRDefault="007D6D93" w:rsidP="007D6D93">
      <w:pPr>
        <w:pStyle w:val="Heading3"/>
        <w:rPr>
          <w:rFonts w:asciiTheme="minorHAnsi" w:hAnsiTheme="minorHAnsi"/>
        </w:rPr>
      </w:pPr>
      <w:r w:rsidRPr="00A24F1A">
        <w:rPr>
          <w:rFonts w:asciiTheme="minorHAnsi" w:hAnsiTheme="minorHAnsi"/>
        </w:rPr>
        <w:br/>
      </w:r>
    </w:p>
    <w:p w:rsidR="00567210" w:rsidRPr="00A24F1A" w:rsidRDefault="00567210" w:rsidP="00567210">
      <w:pPr>
        <w:pStyle w:val="Heading2"/>
        <w:rPr>
          <w:rFonts w:asciiTheme="minorHAnsi" w:hAnsiTheme="minorHAnsi"/>
          <w:b/>
        </w:rPr>
      </w:pPr>
      <w:r w:rsidRPr="00A24F1A">
        <w:rPr>
          <w:rFonts w:asciiTheme="minorHAnsi" w:hAnsiTheme="minorHAnsi"/>
          <w:b/>
        </w:rPr>
        <w:t>Key projects for 2016</w:t>
      </w:r>
    </w:p>
    <w:p w:rsidR="00A24F1A" w:rsidRDefault="00A24F1A" w:rsidP="00A24F1A">
      <w:r>
        <w:br/>
        <w:t>The team will continue to mentor new TSC</w:t>
      </w:r>
      <w:r w:rsidR="00482E18">
        <w:t>s</w:t>
      </w:r>
      <w:r>
        <w:t>, staff the email help desk</w:t>
      </w:r>
      <w:r w:rsidR="00CC4C3A">
        <w:t xml:space="preserve">, </w:t>
      </w:r>
      <w:r>
        <w:t>publish the TSC Digest</w:t>
      </w:r>
      <w:r w:rsidR="00CC4C3A">
        <w:t xml:space="preserve"> and work</w:t>
      </w:r>
      <w:r w:rsidR="004F2945">
        <w:t xml:space="preserve"> with the TSC community, other</w:t>
      </w:r>
      <w:r w:rsidR="00CC4C3A">
        <w:t xml:space="preserve"> editorial base</w:t>
      </w:r>
      <w:r w:rsidR="004F2945">
        <w:t xml:space="preserve"> </w:t>
      </w:r>
      <w:r w:rsidR="00CC4C3A">
        <w:t>s</w:t>
      </w:r>
      <w:r w:rsidR="004F2945">
        <w:t>taff</w:t>
      </w:r>
      <w:r w:rsidR="00CC4C3A">
        <w:t xml:space="preserve"> and </w:t>
      </w:r>
      <w:r w:rsidR="004F2945">
        <w:t>members of the Central Executive Team,</w:t>
      </w:r>
      <w:r>
        <w:t xml:space="preserve"> but in addition we plan to undertake the following work: </w:t>
      </w:r>
    </w:p>
    <w:p w:rsidR="00A175C6" w:rsidRPr="00A24F1A" w:rsidRDefault="007D6D93" w:rsidP="00A175C6">
      <w:pPr>
        <w:pStyle w:val="Heading3"/>
        <w:rPr>
          <w:rFonts w:asciiTheme="minorHAnsi" w:hAnsiTheme="minorHAnsi"/>
        </w:rPr>
      </w:pPr>
      <w:r w:rsidRPr="00A24F1A">
        <w:rPr>
          <w:rFonts w:asciiTheme="minorHAnsi" w:hAnsiTheme="minorHAnsi"/>
        </w:rPr>
        <w:t>R</w:t>
      </w:r>
      <w:r w:rsidR="00A175C6" w:rsidRPr="00A24F1A">
        <w:rPr>
          <w:rFonts w:asciiTheme="minorHAnsi" w:hAnsiTheme="minorHAnsi"/>
        </w:rPr>
        <w:t>esources for TSCs</w:t>
      </w:r>
    </w:p>
    <w:p w:rsidR="00A175C6" w:rsidRPr="00A24F1A" w:rsidRDefault="007D6D93" w:rsidP="007D6D93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A24F1A">
        <w:rPr>
          <w:rFonts w:asciiTheme="minorHAnsi" w:hAnsiTheme="minorHAnsi"/>
        </w:rPr>
        <w:t>Gathering together a set of t</w:t>
      </w:r>
      <w:r w:rsidR="00A175C6" w:rsidRPr="00A24F1A">
        <w:rPr>
          <w:rFonts w:asciiTheme="minorHAnsi" w:hAnsiTheme="minorHAnsi"/>
        </w:rPr>
        <w:t>emplate</w:t>
      </w:r>
      <w:r w:rsidRPr="00A24F1A">
        <w:rPr>
          <w:rFonts w:asciiTheme="minorHAnsi" w:hAnsiTheme="minorHAnsi"/>
        </w:rPr>
        <w:t xml:space="preserve">s to enable </w:t>
      </w:r>
      <w:r w:rsidR="009072A1">
        <w:rPr>
          <w:rFonts w:asciiTheme="minorHAnsi" w:hAnsiTheme="minorHAnsi"/>
        </w:rPr>
        <w:t>TSCs</w:t>
      </w:r>
      <w:r w:rsidRPr="00A24F1A">
        <w:rPr>
          <w:rFonts w:asciiTheme="minorHAnsi" w:hAnsiTheme="minorHAnsi"/>
        </w:rPr>
        <w:t xml:space="preserve"> to share resources and best practice</w:t>
      </w:r>
    </w:p>
    <w:p w:rsidR="00A175C6" w:rsidRDefault="007D6D93" w:rsidP="007D6D93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A24F1A">
        <w:rPr>
          <w:rFonts w:asciiTheme="minorHAnsi" w:hAnsiTheme="minorHAnsi"/>
        </w:rPr>
        <w:t xml:space="preserve">Converting the </w:t>
      </w:r>
      <w:r w:rsidR="00A175C6" w:rsidRPr="00A24F1A">
        <w:rPr>
          <w:rFonts w:asciiTheme="minorHAnsi" w:hAnsiTheme="minorHAnsi"/>
        </w:rPr>
        <w:t xml:space="preserve">TSC Guide </w:t>
      </w:r>
      <w:r w:rsidR="00482E18">
        <w:rPr>
          <w:rFonts w:asciiTheme="minorHAnsi" w:hAnsiTheme="minorHAnsi"/>
        </w:rPr>
        <w:t xml:space="preserve">to </w:t>
      </w:r>
      <w:r w:rsidR="00A175C6" w:rsidRPr="00A24F1A">
        <w:rPr>
          <w:rFonts w:asciiTheme="minorHAnsi" w:hAnsiTheme="minorHAnsi"/>
        </w:rPr>
        <w:t>a web based format</w:t>
      </w:r>
    </w:p>
    <w:p w:rsidR="00146EF3" w:rsidRPr="00A24F1A" w:rsidRDefault="00514D74" w:rsidP="00B21EB2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146EF3" w:rsidRPr="00A24F1A">
        <w:rPr>
          <w:rFonts w:asciiTheme="minorHAnsi" w:hAnsiTheme="minorHAnsi"/>
        </w:rPr>
        <w:t>evelop</w:t>
      </w:r>
      <w:r w:rsidR="007D6D93" w:rsidRPr="00A24F1A">
        <w:rPr>
          <w:rFonts w:asciiTheme="minorHAnsi" w:hAnsiTheme="minorHAnsi"/>
        </w:rPr>
        <w:t>ing</w:t>
      </w:r>
      <w:r w:rsidR="00146EF3" w:rsidRPr="00A24F1A">
        <w:rPr>
          <w:rFonts w:asciiTheme="minorHAnsi" w:hAnsiTheme="minorHAnsi"/>
        </w:rPr>
        <w:t xml:space="preserve"> and implement</w:t>
      </w:r>
      <w:r w:rsidR="007D6D93" w:rsidRPr="00A24F1A">
        <w:rPr>
          <w:rFonts w:asciiTheme="minorHAnsi" w:hAnsiTheme="minorHAnsi"/>
        </w:rPr>
        <w:t>ing</w:t>
      </w:r>
      <w:r w:rsidR="00146EF3" w:rsidRPr="00A24F1A">
        <w:rPr>
          <w:rFonts w:asciiTheme="minorHAnsi" w:hAnsiTheme="minorHAnsi"/>
        </w:rPr>
        <w:t xml:space="preserve"> plans for </w:t>
      </w:r>
      <w:r w:rsidR="00482E18">
        <w:rPr>
          <w:rFonts w:asciiTheme="minorHAnsi" w:hAnsiTheme="minorHAnsi"/>
        </w:rPr>
        <w:t>a revamped</w:t>
      </w:r>
      <w:r w:rsidR="00146EF3" w:rsidRPr="00A24F1A">
        <w:rPr>
          <w:rFonts w:asciiTheme="minorHAnsi" w:hAnsiTheme="minorHAnsi"/>
        </w:rPr>
        <w:t xml:space="preserve"> TSC portal on the Cochrane Community site</w:t>
      </w:r>
    </w:p>
    <w:p w:rsidR="00A175C6" w:rsidRPr="00A24F1A" w:rsidRDefault="00A24F1A" w:rsidP="00A175C6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A175C6" w:rsidRPr="00A24F1A">
        <w:rPr>
          <w:rFonts w:asciiTheme="minorHAnsi" w:hAnsiTheme="minorHAnsi"/>
        </w:rPr>
        <w:t>CRS Web</w:t>
      </w:r>
      <w:r>
        <w:rPr>
          <w:rFonts w:asciiTheme="minorHAnsi" w:hAnsiTheme="minorHAnsi"/>
        </w:rPr>
        <w:t xml:space="preserve"> (CRS-W)</w:t>
      </w:r>
      <w:r w:rsidR="00A175C6" w:rsidRPr="00A24F1A">
        <w:rPr>
          <w:rFonts w:asciiTheme="minorHAnsi" w:hAnsiTheme="minorHAnsi"/>
        </w:rPr>
        <w:t xml:space="preserve"> &amp; HarmoniSR</w:t>
      </w:r>
    </w:p>
    <w:p w:rsidR="00A175C6" w:rsidRPr="00A24F1A" w:rsidRDefault="007D6D93" w:rsidP="007D6D93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A24F1A">
        <w:rPr>
          <w:rFonts w:asciiTheme="minorHAnsi" w:hAnsiTheme="minorHAnsi"/>
        </w:rPr>
        <w:t xml:space="preserve">Supporting the roll-out of CRS-W, developing training material and webinar content, becoming early adopters of </w:t>
      </w:r>
      <w:r w:rsidR="00A24F1A">
        <w:rPr>
          <w:rFonts w:asciiTheme="minorHAnsi" w:hAnsiTheme="minorHAnsi"/>
        </w:rPr>
        <w:t>CRS-W</w:t>
      </w:r>
      <w:r w:rsidRPr="00A24F1A">
        <w:rPr>
          <w:rFonts w:asciiTheme="minorHAnsi" w:hAnsiTheme="minorHAnsi"/>
        </w:rPr>
        <w:t xml:space="preserve"> </w:t>
      </w:r>
      <w:r w:rsidR="00A175C6" w:rsidRPr="00A24F1A">
        <w:rPr>
          <w:rFonts w:asciiTheme="minorHAnsi" w:hAnsiTheme="minorHAnsi"/>
        </w:rPr>
        <w:t xml:space="preserve"> </w:t>
      </w:r>
    </w:p>
    <w:p w:rsidR="007D6D93" w:rsidRPr="00A24F1A" w:rsidRDefault="009072A1" w:rsidP="007D6D93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Continuing to work </w:t>
      </w:r>
      <w:r w:rsidR="008A3A53">
        <w:rPr>
          <w:rFonts w:asciiTheme="minorHAnsi" w:hAnsiTheme="minorHAnsi"/>
        </w:rPr>
        <w:t>closely</w:t>
      </w:r>
      <w:r>
        <w:rPr>
          <w:rFonts w:asciiTheme="minorHAnsi" w:hAnsiTheme="minorHAnsi"/>
        </w:rPr>
        <w:t xml:space="preserve"> with the HarmoniSR team, including: fielding queries</w:t>
      </w:r>
      <w:r w:rsidR="008A3A53">
        <w:rPr>
          <w:rFonts w:asciiTheme="minorHAnsi" w:hAnsiTheme="minorHAnsi"/>
        </w:rPr>
        <w:t xml:space="preserve"> from TSCs</w:t>
      </w:r>
      <w:r>
        <w:rPr>
          <w:rFonts w:asciiTheme="minorHAnsi" w:hAnsiTheme="minorHAnsi"/>
        </w:rPr>
        <w:t xml:space="preserve">, developing CT.gov import for CRS-W, and </w:t>
      </w:r>
      <w:r w:rsidR="008A3A53">
        <w:rPr>
          <w:rFonts w:asciiTheme="minorHAnsi" w:hAnsiTheme="minorHAnsi"/>
        </w:rPr>
        <w:t>ensuring integration with PICO annotation tool</w:t>
      </w:r>
      <w:bookmarkStart w:id="0" w:name="_GoBack"/>
      <w:bookmarkEnd w:id="0"/>
    </w:p>
    <w:p w:rsidR="007D6D93" w:rsidRPr="00A24F1A" w:rsidRDefault="007D6D93" w:rsidP="007D6D93">
      <w:pPr>
        <w:pStyle w:val="ListParagraph"/>
        <w:numPr>
          <w:ilvl w:val="0"/>
          <w:numId w:val="16"/>
        </w:numPr>
        <w:rPr>
          <w:rFonts w:asciiTheme="minorHAnsi" w:hAnsiTheme="minorHAnsi"/>
        </w:rPr>
      </w:pPr>
      <w:r w:rsidRPr="00A24F1A">
        <w:rPr>
          <w:rFonts w:asciiTheme="minorHAnsi" w:hAnsiTheme="minorHAnsi"/>
        </w:rPr>
        <w:t>Continuing to work with Metaxis to ensure that</w:t>
      </w:r>
      <w:r w:rsidR="00526DD3">
        <w:rPr>
          <w:rFonts w:asciiTheme="minorHAnsi" w:hAnsiTheme="minorHAnsi"/>
        </w:rPr>
        <w:t xml:space="preserve"> HarmoniSR</w:t>
      </w:r>
      <w:r w:rsidRPr="00A24F1A">
        <w:rPr>
          <w:rFonts w:asciiTheme="minorHAnsi" w:hAnsiTheme="minorHAnsi"/>
        </w:rPr>
        <w:t xml:space="preserve"> guidance is </w:t>
      </w:r>
      <w:r w:rsidRPr="00A24F1A">
        <w:rPr>
          <w:rFonts w:asciiTheme="minorHAnsi" w:eastAsia="Times New Roman" w:hAnsiTheme="minorHAnsi"/>
          <w:color w:val="000000"/>
          <w:sz w:val="21"/>
          <w:szCs w:val="21"/>
        </w:rPr>
        <w:t>implemented in CRS-W</w:t>
      </w:r>
    </w:p>
    <w:p w:rsidR="00A175C6" w:rsidRPr="00A24F1A" w:rsidRDefault="00A24F1A" w:rsidP="00A175C6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br/>
      </w:r>
      <w:r w:rsidR="00A175C6" w:rsidRPr="00A24F1A">
        <w:rPr>
          <w:rFonts w:asciiTheme="minorHAnsi" w:hAnsiTheme="minorHAnsi"/>
        </w:rPr>
        <w:t>Research</w:t>
      </w:r>
    </w:p>
    <w:p w:rsidR="00526DD3" w:rsidRPr="00526DD3" w:rsidRDefault="00526DD3" w:rsidP="00526DD3">
      <w:pPr>
        <w:pStyle w:val="Heading3"/>
        <w:numPr>
          <w:ilvl w:val="0"/>
          <w:numId w:val="20"/>
        </w:numPr>
        <w:rPr>
          <w:rFonts w:asciiTheme="minorHAnsi" w:eastAsia="Times New Roman" w:hAnsiTheme="minorHAnsi"/>
          <w:bCs/>
          <w:color w:val="000000"/>
          <w:sz w:val="22"/>
          <w:szCs w:val="22"/>
        </w:rPr>
      </w:pPr>
      <w:r>
        <w:rPr>
          <w:rFonts w:asciiTheme="minorHAnsi" w:eastAsia="Times New Roman" w:hAnsiTheme="minorHAnsi"/>
          <w:bCs/>
          <w:color w:val="000000"/>
          <w:sz w:val="22"/>
          <w:szCs w:val="22"/>
        </w:rPr>
        <w:t>Evaluating the</w:t>
      </w:r>
      <w:r w:rsidRPr="00526DD3">
        <w:rPr>
          <w:rFonts w:asciiTheme="minorHAnsi" w:eastAsia="Times New Roman" w:hAnsiTheme="minorHAnsi"/>
          <w:bCs/>
          <w:color w:val="000000"/>
          <w:sz w:val="22"/>
          <w:szCs w:val="22"/>
        </w:rPr>
        <w:t xml:space="preserve"> Embase Project, to understand how many studies included in rev</w:t>
      </w:r>
      <w:r>
        <w:rPr>
          <w:rFonts w:asciiTheme="minorHAnsi" w:eastAsia="Times New Roman" w:hAnsiTheme="minorHAnsi"/>
          <w:bCs/>
          <w:color w:val="000000"/>
          <w:sz w:val="22"/>
          <w:szCs w:val="22"/>
        </w:rPr>
        <w:t>iews are unique to Embase, and to what extent</w:t>
      </w:r>
      <w:r w:rsidRPr="00526DD3">
        <w:rPr>
          <w:rFonts w:asciiTheme="minorHAnsi" w:eastAsia="Times New Roman" w:hAnsiTheme="minorHAnsi"/>
          <w:bCs/>
          <w:color w:val="000000"/>
          <w:sz w:val="22"/>
          <w:szCs w:val="22"/>
        </w:rPr>
        <w:t xml:space="preserve"> TSCs still need to search this database for their registers</w:t>
      </w:r>
      <w:r>
        <w:rPr>
          <w:rFonts w:asciiTheme="minorHAnsi" w:eastAsia="Times New Roman" w:hAnsiTheme="minorHAnsi"/>
          <w:bCs/>
          <w:color w:val="000000"/>
          <w:sz w:val="22"/>
          <w:szCs w:val="22"/>
        </w:rPr>
        <w:t xml:space="preserve"> (rather than just searching CENTRAL/CRSO)</w:t>
      </w:r>
    </w:p>
    <w:p w:rsidR="007D65CC" w:rsidRPr="00A24F1A" w:rsidRDefault="00146EF3" w:rsidP="007D65CC">
      <w:pPr>
        <w:pStyle w:val="Heading3"/>
        <w:rPr>
          <w:rFonts w:asciiTheme="minorHAnsi" w:hAnsiTheme="minorHAnsi"/>
        </w:rPr>
      </w:pPr>
      <w:r w:rsidRPr="00A24F1A">
        <w:rPr>
          <w:rFonts w:asciiTheme="minorHAnsi" w:eastAsia="Times New Roman" w:hAnsiTheme="minorHAnsi"/>
          <w:b/>
          <w:bCs/>
          <w:color w:val="000000"/>
          <w:sz w:val="21"/>
          <w:szCs w:val="21"/>
        </w:rPr>
        <w:br/>
      </w:r>
      <w:r w:rsidRPr="00A24F1A">
        <w:rPr>
          <w:rFonts w:asciiTheme="minorHAnsi" w:hAnsiTheme="minorHAnsi"/>
        </w:rPr>
        <w:t>Training events to TSCs in 2016</w:t>
      </w:r>
    </w:p>
    <w:p w:rsidR="007D65CC" w:rsidRPr="00A24F1A" w:rsidRDefault="00A24F1A" w:rsidP="00A24F1A">
      <w:pPr>
        <w:pStyle w:val="Heading3"/>
        <w:numPr>
          <w:ilvl w:val="0"/>
          <w:numId w:val="18"/>
        </w:numPr>
        <w:rPr>
          <w:rFonts w:asciiTheme="minorHAnsi" w:eastAsia="Times New Roman" w:hAnsiTheme="minorHAnsi"/>
          <w:color w:val="000000"/>
          <w:sz w:val="21"/>
          <w:szCs w:val="21"/>
        </w:rPr>
      </w:pPr>
      <w:r w:rsidRPr="00A24F1A">
        <w:rPr>
          <w:rFonts w:asciiTheme="minorHAnsi" w:eastAsia="Times New Roman" w:hAnsiTheme="minorHAnsi"/>
          <w:color w:val="000000"/>
          <w:sz w:val="21"/>
          <w:szCs w:val="21"/>
        </w:rPr>
        <w:t>Helping to deliver</w:t>
      </w:r>
      <w:r w:rsidR="00146EF3" w:rsidRPr="00A24F1A">
        <w:rPr>
          <w:rFonts w:asciiTheme="minorHAnsi" w:eastAsia="Times New Roman" w:hAnsiTheme="minorHAnsi"/>
          <w:color w:val="000000"/>
          <w:sz w:val="21"/>
          <w:szCs w:val="21"/>
        </w:rPr>
        <w:t xml:space="preserve"> four </w:t>
      </w:r>
      <w:r w:rsidRPr="00A24F1A">
        <w:rPr>
          <w:rFonts w:asciiTheme="minorHAnsi" w:eastAsia="Times New Roman" w:hAnsiTheme="minorHAnsi"/>
          <w:color w:val="000000"/>
          <w:sz w:val="21"/>
          <w:szCs w:val="21"/>
        </w:rPr>
        <w:t>text mining</w:t>
      </w:r>
      <w:r w:rsidR="00146EF3" w:rsidRPr="00A24F1A">
        <w:rPr>
          <w:rFonts w:asciiTheme="minorHAnsi" w:eastAsia="Times New Roman" w:hAnsiTheme="minorHAnsi"/>
          <w:color w:val="000000"/>
          <w:sz w:val="21"/>
          <w:szCs w:val="21"/>
        </w:rPr>
        <w:t xml:space="preserve"> webinars for TSCs</w:t>
      </w:r>
      <w:r w:rsidRPr="00A24F1A">
        <w:rPr>
          <w:rFonts w:asciiTheme="minorHAnsi" w:eastAsia="Times New Roman" w:hAnsiTheme="minorHAnsi"/>
          <w:color w:val="000000"/>
          <w:sz w:val="21"/>
          <w:szCs w:val="21"/>
        </w:rPr>
        <w:t xml:space="preserve"> in collaboration with Julie Glanville, YHEC</w:t>
      </w:r>
    </w:p>
    <w:p w:rsidR="00146EF3" w:rsidRPr="00A24F1A" w:rsidRDefault="00A24F1A" w:rsidP="00A24F1A">
      <w:pPr>
        <w:pStyle w:val="Heading3"/>
        <w:numPr>
          <w:ilvl w:val="0"/>
          <w:numId w:val="18"/>
        </w:numPr>
        <w:rPr>
          <w:rFonts w:asciiTheme="minorHAnsi" w:eastAsia="Times New Roman" w:hAnsiTheme="minorHAnsi"/>
          <w:color w:val="000000"/>
          <w:sz w:val="21"/>
          <w:szCs w:val="21"/>
        </w:rPr>
      </w:pPr>
      <w:r w:rsidRPr="00A24F1A">
        <w:rPr>
          <w:rFonts w:asciiTheme="minorHAnsi" w:eastAsia="Times New Roman" w:hAnsiTheme="minorHAnsi"/>
          <w:color w:val="000000"/>
          <w:sz w:val="21"/>
          <w:szCs w:val="21"/>
        </w:rPr>
        <w:t xml:space="preserve">Developing </w:t>
      </w:r>
      <w:r w:rsidR="00146EF3" w:rsidRPr="00A24F1A">
        <w:rPr>
          <w:rFonts w:asciiTheme="minorHAnsi" w:eastAsia="Times New Roman" w:hAnsiTheme="minorHAnsi"/>
          <w:color w:val="000000"/>
          <w:sz w:val="21"/>
          <w:szCs w:val="21"/>
        </w:rPr>
        <w:t>and deliver</w:t>
      </w:r>
      <w:r w:rsidRPr="00A24F1A">
        <w:rPr>
          <w:rFonts w:asciiTheme="minorHAnsi" w:eastAsia="Times New Roman" w:hAnsiTheme="minorHAnsi"/>
          <w:color w:val="000000"/>
          <w:sz w:val="21"/>
          <w:szCs w:val="21"/>
        </w:rPr>
        <w:t>ing</w:t>
      </w:r>
      <w:r w:rsidR="00146EF3" w:rsidRPr="00A24F1A">
        <w:rPr>
          <w:rFonts w:asciiTheme="minorHAnsi" w:eastAsia="Times New Roman" w:hAnsiTheme="minorHAnsi"/>
          <w:color w:val="000000"/>
          <w:sz w:val="21"/>
          <w:szCs w:val="21"/>
        </w:rPr>
        <w:t xml:space="preserve"> Archie webinars for TSCs</w:t>
      </w:r>
    </w:p>
    <w:p w:rsidR="00A24F1A" w:rsidRPr="00A24F1A" w:rsidRDefault="00A24F1A" w:rsidP="00A24F1A">
      <w:pPr>
        <w:pStyle w:val="ListParagraph"/>
        <w:numPr>
          <w:ilvl w:val="0"/>
          <w:numId w:val="18"/>
        </w:numPr>
        <w:rPr>
          <w:rFonts w:asciiTheme="minorHAnsi" w:hAnsiTheme="minorHAnsi"/>
        </w:rPr>
      </w:pPr>
      <w:r w:rsidRPr="00A24F1A">
        <w:rPr>
          <w:rFonts w:asciiTheme="minorHAnsi" w:hAnsiTheme="minorHAnsi"/>
        </w:rPr>
        <w:t>Developing CRS</w:t>
      </w:r>
      <w:r>
        <w:rPr>
          <w:rFonts w:asciiTheme="minorHAnsi" w:hAnsiTheme="minorHAnsi"/>
        </w:rPr>
        <w:t>-W</w:t>
      </w:r>
      <w:r w:rsidRPr="00A24F1A">
        <w:rPr>
          <w:rFonts w:asciiTheme="minorHAnsi" w:hAnsiTheme="minorHAnsi"/>
        </w:rPr>
        <w:t xml:space="preserve"> training materials and webinar content</w:t>
      </w:r>
    </w:p>
    <w:p w:rsidR="007D6D93" w:rsidRDefault="007D6D93" w:rsidP="007D6D93"/>
    <w:p w:rsidR="007D6D93" w:rsidRDefault="007D6D93" w:rsidP="007D6D93">
      <w:pPr>
        <w:pStyle w:val="Heading3"/>
      </w:pPr>
      <w:r>
        <w:t>Events</w:t>
      </w:r>
    </w:p>
    <w:p w:rsidR="004F2945" w:rsidRDefault="004F2945" w:rsidP="004F2945">
      <w:pPr>
        <w:pStyle w:val="ListParagraph"/>
        <w:numPr>
          <w:ilvl w:val="0"/>
          <w:numId w:val="19"/>
        </w:numPr>
      </w:pPr>
      <w:r>
        <w:t xml:space="preserve">Attending the Cochrane UK &amp; Ireland Symposium in Birmingham, UK, March 2016 </w:t>
      </w:r>
    </w:p>
    <w:p w:rsidR="007D6D93" w:rsidRDefault="00A24F1A" w:rsidP="00A24F1A">
      <w:pPr>
        <w:pStyle w:val="ListParagraph"/>
        <w:numPr>
          <w:ilvl w:val="0"/>
          <w:numId w:val="19"/>
        </w:numPr>
      </w:pPr>
      <w:r>
        <w:t>Attending the Health Li</w:t>
      </w:r>
      <w:r w:rsidR="004F2945">
        <w:t xml:space="preserve">braries Group Conference in Scarborough, </w:t>
      </w:r>
      <w:r>
        <w:t>UK, September 2016</w:t>
      </w:r>
    </w:p>
    <w:p w:rsidR="00A24F1A" w:rsidRDefault="00A24F1A" w:rsidP="00A24F1A">
      <w:pPr>
        <w:pStyle w:val="ListParagraph"/>
        <w:numPr>
          <w:ilvl w:val="0"/>
          <w:numId w:val="19"/>
        </w:numPr>
      </w:pPr>
      <w:r>
        <w:t xml:space="preserve">Attending the Cochrane Colloquium in Seoul, </w:t>
      </w:r>
      <w:r w:rsidR="004F2945">
        <w:t xml:space="preserve">Korea, </w:t>
      </w:r>
      <w:r>
        <w:t>October 2016</w:t>
      </w:r>
    </w:p>
    <w:p w:rsidR="007D6D93" w:rsidRPr="007D6D93" w:rsidRDefault="007D6D93" w:rsidP="007D6D93"/>
    <w:sectPr w:rsidR="007D6D93" w:rsidRPr="007D6D93" w:rsidSect="00E9680A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4949"/>
    <w:multiLevelType w:val="multilevel"/>
    <w:tmpl w:val="8E7E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52982"/>
    <w:multiLevelType w:val="multilevel"/>
    <w:tmpl w:val="15DE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8C6FD3"/>
    <w:multiLevelType w:val="multilevel"/>
    <w:tmpl w:val="8B38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94D74"/>
    <w:multiLevelType w:val="hybridMultilevel"/>
    <w:tmpl w:val="532AD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57456"/>
    <w:multiLevelType w:val="multilevel"/>
    <w:tmpl w:val="8B8CF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871533"/>
    <w:multiLevelType w:val="hybridMultilevel"/>
    <w:tmpl w:val="112625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C0A9A"/>
    <w:multiLevelType w:val="hybridMultilevel"/>
    <w:tmpl w:val="DC821C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FB352B"/>
    <w:multiLevelType w:val="hybridMultilevel"/>
    <w:tmpl w:val="E108B4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A417C3"/>
    <w:multiLevelType w:val="hybridMultilevel"/>
    <w:tmpl w:val="6F3EF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0E78F2"/>
    <w:multiLevelType w:val="hybridMultilevel"/>
    <w:tmpl w:val="3D88E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83138A"/>
    <w:multiLevelType w:val="multilevel"/>
    <w:tmpl w:val="8F54F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F832C2"/>
    <w:multiLevelType w:val="hybridMultilevel"/>
    <w:tmpl w:val="D24E75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87155E"/>
    <w:multiLevelType w:val="hybridMultilevel"/>
    <w:tmpl w:val="EB5E1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E17645"/>
    <w:multiLevelType w:val="hybridMultilevel"/>
    <w:tmpl w:val="F1AE33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EC7219"/>
    <w:multiLevelType w:val="multilevel"/>
    <w:tmpl w:val="1506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7C5DAA"/>
    <w:multiLevelType w:val="multilevel"/>
    <w:tmpl w:val="2256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420EF5"/>
    <w:multiLevelType w:val="hybridMultilevel"/>
    <w:tmpl w:val="B7FCF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332A50"/>
    <w:multiLevelType w:val="multilevel"/>
    <w:tmpl w:val="FAEA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7F5ED4"/>
    <w:multiLevelType w:val="hybridMultilevel"/>
    <w:tmpl w:val="E2FC8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856C5"/>
    <w:multiLevelType w:val="hybridMultilevel"/>
    <w:tmpl w:val="0B52A1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17"/>
  </w:num>
  <w:num w:numId="8">
    <w:abstractNumId w:val="14"/>
  </w:num>
  <w:num w:numId="9">
    <w:abstractNumId w:val="15"/>
  </w:num>
  <w:num w:numId="10">
    <w:abstractNumId w:val="1"/>
  </w:num>
  <w:num w:numId="11">
    <w:abstractNumId w:val="0"/>
  </w:num>
  <w:num w:numId="12">
    <w:abstractNumId w:val="16"/>
  </w:num>
  <w:num w:numId="13">
    <w:abstractNumId w:val="7"/>
  </w:num>
  <w:num w:numId="14">
    <w:abstractNumId w:val="6"/>
  </w:num>
  <w:num w:numId="15">
    <w:abstractNumId w:val="19"/>
  </w:num>
  <w:num w:numId="16">
    <w:abstractNumId w:val="12"/>
  </w:num>
  <w:num w:numId="17">
    <w:abstractNumId w:val="11"/>
  </w:num>
  <w:num w:numId="18">
    <w:abstractNumId w:val="5"/>
  </w:num>
  <w:num w:numId="19">
    <w:abstractNumId w:val="8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210"/>
    <w:rsid w:val="0013284C"/>
    <w:rsid w:val="00146EF3"/>
    <w:rsid w:val="00157C39"/>
    <w:rsid w:val="00227E02"/>
    <w:rsid w:val="002939E3"/>
    <w:rsid w:val="003A67D7"/>
    <w:rsid w:val="00482E18"/>
    <w:rsid w:val="004D3E30"/>
    <w:rsid w:val="004F2945"/>
    <w:rsid w:val="00514D74"/>
    <w:rsid w:val="00526DD3"/>
    <w:rsid w:val="00567210"/>
    <w:rsid w:val="0065071C"/>
    <w:rsid w:val="0068183D"/>
    <w:rsid w:val="006D5B82"/>
    <w:rsid w:val="0079440A"/>
    <w:rsid w:val="007D65CC"/>
    <w:rsid w:val="007D6D93"/>
    <w:rsid w:val="00822796"/>
    <w:rsid w:val="008A3A53"/>
    <w:rsid w:val="009072A1"/>
    <w:rsid w:val="009949E7"/>
    <w:rsid w:val="00A175C6"/>
    <w:rsid w:val="00A24F1A"/>
    <w:rsid w:val="00A83FF3"/>
    <w:rsid w:val="00AA151A"/>
    <w:rsid w:val="00B27511"/>
    <w:rsid w:val="00C96147"/>
    <w:rsid w:val="00CC4C3A"/>
    <w:rsid w:val="00DD7ACF"/>
    <w:rsid w:val="00E9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06A620B-1802-4D46-BBE0-32175686D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72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2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21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210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5672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721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672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A24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4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4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4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4F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F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0B27C-655B-4774-9A67-3B24A686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Foxlee</dc:creator>
  <cp:lastModifiedBy>Ruth Foxlee</cp:lastModifiedBy>
  <cp:revision>2</cp:revision>
  <dcterms:created xsi:type="dcterms:W3CDTF">2016-02-29T15:45:00Z</dcterms:created>
  <dcterms:modified xsi:type="dcterms:W3CDTF">2016-02-29T15:45:00Z</dcterms:modified>
</cp:coreProperties>
</file>