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6A" w:rsidRPr="00C74BE0" w:rsidRDefault="000C7B6A" w:rsidP="000C7B6A">
      <w:pPr>
        <w:spacing w:after="2880"/>
        <w:rPr>
          <w:color w:val="FFFFFF" w:themeColor="background1"/>
        </w:rPr>
      </w:pPr>
    </w:p>
    <w:p w:rsidR="000C7B6A" w:rsidRPr="00770CEA" w:rsidRDefault="00EB0CF4" w:rsidP="000C7B6A">
      <w:pPr>
        <w:pStyle w:val="CoverHeading"/>
      </w:pPr>
      <w:r w:rsidRPr="00EB0CF4">
        <w:t>Structure and Function Review: Positioning Cochrane Fields as KT-Focussed Groups</w:t>
      </w:r>
    </w:p>
    <w:p w:rsidR="00F30157" w:rsidRDefault="00F30157" w:rsidP="00EB0CF4">
      <w:pPr>
        <w:pStyle w:val="CoverDescriptor"/>
      </w:pPr>
    </w:p>
    <w:p w:rsidR="00EB0CF4" w:rsidRDefault="00EB0CF4" w:rsidP="00EB0CF4">
      <w:pPr>
        <w:pStyle w:val="CoverDescriptor"/>
      </w:pPr>
      <w:r w:rsidRPr="00EB0CF4">
        <w:t xml:space="preserve">Final design proposals </w:t>
      </w: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Default="00CE316F" w:rsidP="00EB0CF4">
      <w:pPr>
        <w:pStyle w:val="CoverDescriptor"/>
      </w:pPr>
    </w:p>
    <w:p w:rsidR="00CE316F" w:rsidRPr="00CE316F" w:rsidRDefault="00CE316F" w:rsidP="00CE316F">
      <w:pPr>
        <w:pStyle w:val="CoverDescriptor"/>
        <w:spacing w:line="240" w:lineRule="auto"/>
        <w:ind w:right="6430"/>
        <w:rPr>
          <w:b/>
          <w:color w:val="002D64" w:themeColor="text2"/>
          <w:sz w:val="24"/>
          <w:szCs w:val="24"/>
        </w:rPr>
      </w:pPr>
      <w:r w:rsidRPr="00CE316F">
        <w:rPr>
          <w:b/>
          <w:color w:val="002D64" w:themeColor="text2"/>
          <w:sz w:val="24"/>
          <w:szCs w:val="24"/>
        </w:rPr>
        <w:t>For any queries on this paper please contact the CEO’s Office</w:t>
      </w:r>
    </w:p>
    <w:p w:rsidR="00CE316F" w:rsidRPr="00CE316F" w:rsidRDefault="00CE316F" w:rsidP="00CE316F">
      <w:pPr>
        <w:pStyle w:val="CoverDescriptor"/>
        <w:spacing w:line="240" w:lineRule="auto"/>
        <w:ind w:right="6430"/>
        <w:rPr>
          <w:color w:val="002D64" w:themeColor="text2"/>
          <w:sz w:val="24"/>
          <w:szCs w:val="24"/>
        </w:rPr>
      </w:pPr>
      <w:r w:rsidRPr="00CE316F">
        <w:rPr>
          <w:color w:val="002D64" w:themeColor="text2"/>
          <w:sz w:val="24"/>
          <w:szCs w:val="24"/>
        </w:rPr>
        <w:t>Chris Champion (</w:t>
      </w:r>
      <w:hyperlink r:id="rId8" w:history="1">
        <w:r w:rsidRPr="00CE316F">
          <w:rPr>
            <w:rStyle w:val="Hyperlink"/>
            <w:sz w:val="24"/>
            <w:szCs w:val="24"/>
          </w:rPr>
          <w:t>cchampion@cochrane.org</w:t>
        </w:r>
      </w:hyperlink>
      <w:r w:rsidRPr="00CE316F">
        <w:rPr>
          <w:color w:val="002D64" w:themeColor="text2"/>
          <w:sz w:val="24"/>
          <w:szCs w:val="24"/>
        </w:rPr>
        <w:t>)</w:t>
      </w:r>
    </w:p>
    <w:p w:rsidR="000C7B6A" w:rsidRPr="00871B87" w:rsidRDefault="000C7B6A" w:rsidP="000C7B6A">
      <w:pPr>
        <w:pStyle w:val="CoverDescriptor"/>
      </w:pPr>
    </w:p>
    <w:p w:rsidR="000C7B6A" w:rsidRDefault="000C7B6A" w:rsidP="000C7B6A">
      <w:pPr>
        <w:spacing w:line="420" w:lineRule="exact"/>
        <w:ind w:right="5160"/>
        <w:rPr>
          <w:rFonts w:asciiTheme="majorHAnsi" w:hAnsiTheme="majorHAnsi"/>
          <w:color w:val="962D91" w:themeColor="background2"/>
          <w:sz w:val="36"/>
          <w:szCs w:val="36"/>
        </w:rPr>
        <w:sectPr w:rsidR="000C7B6A" w:rsidSect="00B77171">
          <w:headerReference w:type="default" r:id="rId9"/>
          <w:footerReference w:type="default" r:id="rId10"/>
          <w:pgSz w:w="11906" w:h="16838" w:code="9"/>
          <w:pgMar w:top="1701" w:right="680" w:bottom="1134" w:left="680" w:header="680" w:footer="624" w:gutter="0"/>
          <w:cols w:space="708"/>
          <w:docGrid w:linePitch="360"/>
        </w:sectPr>
      </w:pPr>
    </w:p>
    <w:p w:rsidR="003F1ECD" w:rsidRDefault="00A44852" w:rsidP="003F1ECD">
      <w:pPr>
        <w:pStyle w:val="Heading1"/>
      </w:pPr>
      <w:bookmarkStart w:id="0" w:name="_Toc476132571"/>
      <w:r>
        <w:tab/>
      </w:r>
      <w:r w:rsidR="003F1ECD">
        <w:t>Executive Summary</w:t>
      </w:r>
      <w:bookmarkEnd w:id="0"/>
    </w:p>
    <w:p w:rsidR="00E55624" w:rsidRPr="00002DDB" w:rsidRDefault="00866060" w:rsidP="008216F0">
      <w:pPr>
        <w:pStyle w:val="PagesBodytext"/>
        <w:jc w:val="both"/>
        <w:rPr>
          <w:sz w:val="22"/>
        </w:rPr>
      </w:pPr>
      <w:r w:rsidRPr="006F1CD5">
        <w:rPr>
          <w:sz w:val="22"/>
        </w:rPr>
        <w:t>Cochrane seeks to improve health decision making globally. We do this by producing systematic reviews, so that the best evidence is available</w:t>
      </w:r>
      <w:r w:rsidR="00D4198E" w:rsidRPr="006F1CD5">
        <w:rPr>
          <w:sz w:val="22"/>
        </w:rPr>
        <w:t>:</w:t>
      </w:r>
      <w:r w:rsidRPr="006F1CD5">
        <w:rPr>
          <w:sz w:val="22"/>
        </w:rPr>
        <w:t xml:space="preserve"> but available and used are not synonymous. For some </w:t>
      </w:r>
      <w:proofErr w:type="gramStart"/>
      <w:r w:rsidRPr="006F1CD5">
        <w:rPr>
          <w:sz w:val="22"/>
        </w:rPr>
        <w:t>audiences</w:t>
      </w:r>
      <w:proofErr w:type="gramEnd"/>
      <w:r w:rsidRPr="006F1CD5">
        <w:rPr>
          <w:sz w:val="22"/>
        </w:rPr>
        <w:t xml:space="preserve"> we need to adapt or re-package review findings, whereas for others we just need to disseminate </w:t>
      </w:r>
      <w:r w:rsidR="00A44852" w:rsidRPr="006F1CD5">
        <w:rPr>
          <w:sz w:val="22"/>
        </w:rPr>
        <w:t xml:space="preserve">reviews </w:t>
      </w:r>
      <w:r w:rsidRPr="006F1CD5">
        <w:rPr>
          <w:sz w:val="22"/>
        </w:rPr>
        <w:t>more widely so those audiences know the</w:t>
      </w:r>
      <w:r w:rsidR="00A44852" w:rsidRPr="006F1CD5">
        <w:rPr>
          <w:sz w:val="22"/>
        </w:rPr>
        <w:t>y</w:t>
      </w:r>
      <w:r w:rsidRPr="006F1CD5">
        <w:rPr>
          <w:sz w:val="22"/>
        </w:rPr>
        <w:t xml:space="preserve"> exist. </w:t>
      </w:r>
      <w:r w:rsidR="0026597A" w:rsidRPr="006F1CD5">
        <w:rPr>
          <w:sz w:val="22"/>
        </w:rPr>
        <w:t xml:space="preserve">It is critical to Cochrane that we </w:t>
      </w:r>
      <w:r w:rsidRPr="006F1CD5">
        <w:rPr>
          <w:sz w:val="22"/>
        </w:rPr>
        <w:t xml:space="preserve">connect </w:t>
      </w:r>
      <w:r w:rsidR="0011557B" w:rsidRPr="006F1CD5">
        <w:rPr>
          <w:sz w:val="22"/>
        </w:rPr>
        <w:t xml:space="preserve">health and healthcare </w:t>
      </w:r>
      <w:r w:rsidRPr="006F1CD5">
        <w:rPr>
          <w:sz w:val="22"/>
        </w:rPr>
        <w:t>decision</w:t>
      </w:r>
      <w:r w:rsidR="0094600D" w:rsidRPr="006F1CD5">
        <w:rPr>
          <w:sz w:val="22"/>
        </w:rPr>
        <w:t>-</w:t>
      </w:r>
      <w:r w:rsidR="0011557B" w:rsidRPr="006F1CD5">
        <w:rPr>
          <w:sz w:val="22"/>
        </w:rPr>
        <w:t>makers</w:t>
      </w:r>
      <w:r w:rsidRPr="006F1CD5">
        <w:rPr>
          <w:sz w:val="22"/>
        </w:rPr>
        <w:t xml:space="preserve"> with the reviews we produce</w:t>
      </w:r>
      <w:r w:rsidR="00E67F3C" w:rsidRPr="006F1CD5">
        <w:rPr>
          <w:sz w:val="22"/>
        </w:rPr>
        <w:t>;</w:t>
      </w:r>
      <w:r w:rsidR="0026597A" w:rsidRPr="006F1CD5">
        <w:rPr>
          <w:sz w:val="22"/>
        </w:rPr>
        <w:t xml:space="preserve"> and we</w:t>
      </w:r>
      <w:r w:rsidRPr="006F1CD5">
        <w:rPr>
          <w:sz w:val="22"/>
        </w:rPr>
        <w:t xml:space="preserve"> listen to </w:t>
      </w:r>
      <w:r w:rsidR="00750195" w:rsidRPr="006F1CD5">
        <w:rPr>
          <w:sz w:val="22"/>
        </w:rPr>
        <w:t>those</w:t>
      </w:r>
      <w:r w:rsidRPr="006F1CD5">
        <w:rPr>
          <w:sz w:val="22"/>
        </w:rPr>
        <w:t xml:space="preserve"> stakeholders to understand what the</w:t>
      </w:r>
      <w:r w:rsidR="00750195" w:rsidRPr="006F1CD5">
        <w:rPr>
          <w:sz w:val="22"/>
        </w:rPr>
        <w:t>ir evidence</w:t>
      </w:r>
      <w:r w:rsidRPr="006F1CD5">
        <w:rPr>
          <w:sz w:val="22"/>
        </w:rPr>
        <w:t xml:space="preserve"> priorities are, so we use our </w:t>
      </w:r>
      <w:r w:rsidR="00E67F3C" w:rsidRPr="006F1CD5">
        <w:rPr>
          <w:sz w:val="22"/>
        </w:rPr>
        <w:t>limited</w:t>
      </w:r>
      <w:r w:rsidRPr="006F1CD5">
        <w:rPr>
          <w:sz w:val="22"/>
        </w:rPr>
        <w:t xml:space="preserve"> review production resource</w:t>
      </w:r>
      <w:r w:rsidR="00750195" w:rsidRPr="006F1CD5">
        <w:rPr>
          <w:sz w:val="22"/>
        </w:rPr>
        <w:t>s</w:t>
      </w:r>
      <w:r w:rsidRPr="006F1CD5">
        <w:rPr>
          <w:sz w:val="22"/>
        </w:rPr>
        <w:t xml:space="preserve"> to produce the reviews that are most likely to </w:t>
      </w:r>
      <w:r w:rsidR="00750195" w:rsidRPr="006F1CD5">
        <w:rPr>
          <w:sz w:val="22"/>
        </w:rPr>
        <w:t>be used</w:t>
      </w:r>
      <w:r w:rsidRPr="006F1CD5">
        <w:rPr>
          <w:sz w:val="22"/>
        </w:rPr>
        <w:t xml:space="preserve">. </w:t>
      </w:r>
    </w:p>
    <w:p w:rsidR="00C648D9" w:rsidRPr="006F1CD5" w:rsidRDefault="0048199E" w:rsidP="006F1CD5">
      <w:pPr>
        <w:pStyle w:val="PagesBodytext"/>
        <w:jc w:val="both"/>
        <w:rPr>
          <w:sz w:val="22"/>
        </w:rPr>
      </w:pPr>
      <w:r w:rsidRPr="006F1CD5">
        <w:rPr>
          <w:sz w:val="22"/>
        </w:rPr>
        <w:t xml:space="preserve">This knowledge translation </w:t>
      </w:r>
      <w:r w:rsidR="00156615" w:rsidRPr="006F1CD5">
        <w:rPr>
          <w:sz w:val="22"/>
        </w:rPr>
        <w:t xml:space="preserve">(KT) </w:t>
      </w:r>
      <w:r w:rsidRPr="006F1CD5">
        <w:rPr>
          <w:sz w:val="22"/>
        </w:rPr>
        <w:t xml:space="preserve">challenge </w:t>
      </w:r>
      <w:r w:rsidR="004F0AEB" w:rsidRPr="006F1CD5">
        <w:rPr>
          <w:sz w:val="22"/>
        </w:rPr>
        <w:t xml:space="preserve">is the </w:t>
      </w:r>
      <w:r w:rsidR="00952072" w:rsidRPr="006F1CD5">
        <w:rPr>
          <w:sz w:val="22"/>
        </w:rPr>
        <w:t>impetus for</w:t>
      </w:r>
      <w:r w:rsidR="004F0AEB" w:rsidRPr="006F1CD5">
        <w:rPr>
          <w:sz w:val="22"/>
        </w:rPr>
        <w:t xml:space="preserve"> </w:t>
      </w:r>
      <w:r w:rsidR="00952072" w:rsidRPr="006F1CD5">
        <w:rPr>
          <w:sz w:val="22"/>
        </w:rPr>
        <w:t>the</w:t>
      </w:r>
      <w:r w:rsidR="004F0AEB" w:rsidRPr="006F1CD5">
        <w:rPr>
          <w:sz w:val="22"/>
        </w:rPr>
        <w:t xml:space="preserve"> develop</w:t>
      </w:r>
      <w:r w:rsidR="00952072" w:rsidRPr="006F1CD5">
        <w:rPr>
          <w:sz w:val="22"/>
        </w:rPr>
        <w:t xml:space="preserve">ment </w:t>
      </w:r>
      <w:r w:rsidR="008C4004" w:rsidRPr="006F1CD5">
        <w:rPr>
          <w:sz w:val="22"/>
        </w:rPr>
        <w:t xml:space="preserve">in 2016-17 </w:t>
      </w:r>
      <w:r w:rsidR="00952072" w:rsidRPr="006F1CD5">
        <w:rPr>
          <w:sz w:val="22"/>
        </w:rPr>
        <w:t>of</w:t>
      </w:r>
      <w:r w:rsidR="004F0AEB" w:rsidRPr="006F1CD5">
        <w:rPr>
          <w:sz w:val="22"/>
        </w:rPr>
        <w:t xml:space="preserve"> a Cochrane Knowledge Translation Strategy that will inform the</w:t>
      </w:r>
      <w:r w:rsidR="00952072" w:rsidRPr="006F1CD5">
        <w:rPr>
          <w:sz w:val="22"/>
        </w:rPr>
        <w:t xml:space="preserve"> </w:t>
      </w:r>
      <w:r w:rsidR="00156615" w:rsidRPr="006F1CD5">
        <w:rPr>
          <w:sz w:val="22"/>
        </w:rPr>
        <w:t>KT</w:t>
      </w:r>
      <w:r w:rsidR="004F0AEB" w:rsidRPr="006F1CD5">
        <w:rPr>
          <w:sz w:val="22"/>
        </w:rPr>
        <w:t xml:space="preserve"> work of all </w:t>
      </w:r>
      <w:r w:rsidR="00E14F7B" w:rsidRPr="006F1CD5">
        <w:rPr>
          <w:sz w:val="22"/>
        </w:rPr>
        <w:t xml:space="preserve">Cochrane </w:t>
      </w:r>
      <w:r w:rsidR="004F0AEB" w:rsidRPr="006F1CD5">
        <w:rPr>
          <w:sz w:val="22"/>
        </w:rPr>
        <w:t xml:space="preserve">Groups. </w:t>
      </w:r>
      <w:r w:rsidR="00750195" w:rsidRPr="006F1CD5">
        <w:rPr>
          <w:sz w:val="22"/>
        </w:rPr>
        <w:t>It</w:t>
      </w:r>
      <w:r w:rsidR="004F0AEB" w:rsidRPr="006F1CD5">
        <w:rPr>
          <w:sz w:val="22"/>
        </w:rPr>
        <w:t xml:space="preserve"> </w:t>
      </w:r>
      <w:r w:rsidR="008C4004" w:rsidRPr="006F1CD5">
        <w:rPr>
          <w:sz w:val="22"/>
        </w:rPr>
        <w:t>also</w:t>
      </w:r>
      <w:r w:rsidR="004F0AEB" w:rsidRPr="006F1CD5">
        <w:rPr>
          <w:sz w:val="22"/>
        </w:rPr>
        <w:t xml:space="preserve"> </w:t>
      </w:r>
      <w:r w:rsidR="00750195" w:rsidRPr="006F1CD5">
        <w:rPr>
          <w:sz w:val="22"/>
        </w:rPr>
        <w:t xml:space="preserve">provides </w:t>
      </w:r>
      <w:r w:rsidR="004F0AEB" w:rsidRPr="006F1CD5">
        <w:rPr>
          <w:sz w:val="22"/>
        </w:rPr>
        <w:t xml:space="preserve">the core context for this paper on </w:t>
      </w:r>
      <w:r w:rsidR="00E14F7B" w:rsidRPr="006F1CD5">
        <w:rPr>
          <w:sz w:val="22"/>
        </w:rPr>
        <w:t xml:space="preserve">Cochrane’s </w:t>
      </w:r>
      <w:r w:rsidR="004F0AEB" w:rsidRPr="006F1CD5">
        <w:rPr>
          <w:sz w:val="22"/>
        </w:rPr>
        <w:t>Fields</w:t>
      </w:r>
      <w:r w:rsidR="00EF7C3C" w:rsidRPr="006F1CD5">
        <w:rPr>
          <w:sz w:val="22"/>
        </w:rPr>
        <w:t>,</w:t>
      </w:r>
      <w:r w:rsidR="004F0AEB" w:rsidRPr="006F1CD5">
        <w:rPr>
          <w:sz w:val="22"/>
        </w:rPr>
        <w:t xml:space="preserve"> as we want</w:t>
      </w:r>
      <w:r w:rsidR="00952072" w:rsidRPr="006F1CD5">
        <w:rPr>
          <w:sz w:val="22"/>
        </w:rPr>
        <w:t xml:space="preserve"> the remit of</w:t>
      </w:r>
      <w:r w:rsidR="004F0AEB" w:rsidRPr="006F1CD5">
        <w:rPr>
          <w:sz w:val="22"/>
        </w:rPr>
        <w:t xml:space="preserve"> Fields to be driven by the new </w:t>
      </w:r>
      <w:r w:rsidR="00985B7B" w:rsidRPr="006F1CD5">
        <w:rPr>
          <w:sz w:val="22"/>
        </w:rPr>
        <w:t>KT Strategy</w:t>
      </w:r>
      <w:r w:rsidR="00E14F7B" w:rsidRPr="006F1CD5">
        <w:rPr>
          <w:sz w:val="22"/>
        </w:rPr>
        <w:t>,</w:t>
      </w:r>
      <w:r w:rsidR="00952072" w:rsidRPr="006F1CD5">
        <w:rPr>
          <w:sz w:val="22"/>
        </w:rPr>
        <w:t xml:space="preserve"> and </w:t>
      </w:r>
      <w:r w:rsidR="00C648D9" w:rsidRPr="006F1CD5">
        <w:rPr>
          <w:sz w:val="22"/>
        </w:rPr>
        <w:t xml:space="preserve">therefore we have outlined the </w:t>
      </w:r>
      <w:r w:rsidR="00156615" w:rsidRPr="006F1CD5">
        <w:rPr>
          <w:sz w:val="22"/>
        </w:rPr>
        <w:t xml:space="preserve">proposed </w:t>
      </w:r>
      <w:r w:rsidR="00C648D9" w:rsidRPr="006F1CD5">
        <w:rPr>
          <w:sz w:val="22"/>
        </w:rPr>
        <w:t xml:space="preserve">work of Fields around four </w:t>
      </w:r>
      <w:r w:rsidR="00156615" w:rsidRPr="006F1CD5">
        <w:rPr>
          <w:sz w:val="22"/>
        </w:rPr>
        <w:t>f</w:t>
      </w:r>
      <w:r w:rsidR="00572A3A" w:rsidRPr="006F1CD5">
        <w:rPr>
          <w:sz w:val="22"/>
        </w:rPr>
        <w:t xml:space="preserve">unctional areas </w:t>
      </w:r>
      <w:r w:rsidR="00B05B1D">
        <w:rPr>
          <w:sz w:val="22"/>
        </w:rPr>
        <w:t>based on</w:t>
      </w:r>
      <w:r w:rsidR="00B05B1D" w:rsidRPr="006F1CD5">
        <w:rPr>
          <w:sz w:val="22"/>
        </w:rPr>
        <w:t xml:space="preserve"> </w:t>
      </w:r>
      <w:r w:rsidR="00572A3A" w:rsidRPr="006F1CD5">
        <w:rPr>
          <w:sz w:val="22"/>
        </w:rPr>
        <w:t>the Strategy: Network Building; Building Demand/Advocacy; Knowledge Translation Outputs; and Stakeholder Engagement.</w:t>
      </w:r>
      <w:r w:rsidR="00C648D9" w:rsidRPr="006F1CD5">
        <w:rPr>
          <w:sz w:val="22"/>
        </w:rPr>
        <w:t xml:space="preserve"> </w:t>
      </w:r>
    </w:p>
    <w:p w:rsidR="00E55624" w:rsidRPr="006F1CD5" w:rsidRDefault="0026597A" w:rsidP="006F1CD5">
      <w:pPr>
        <w:pStyle w:val="PagesBodytext"/>
        <w:jc w:val="both"/>
        <w:rPr>
          <w:sz w:val="22"/>
        </w:rPr>
      </w:pPr>
      <w:r w:rsidRPr="006F1CD5">
        <w:rPr>
          <w:sz w:val="22"/>
        </w:rPr>
        <w:t xml:space="preserve">Cochrane </w:t>
      </w:r>
      <w:proofErr w:type="gramStart"/>
      <w:r w:rsidR="00750195" w:rsidRPr="006F1CD5">
        <w:rPr>
          <w:sz w:val="22"/>
        </w:rPr>
        <w:t>has</w:t>
      </w:r>
      <w:r w:rsidRPr="006F1CD5">
        <w:rPr>
          <w:sz w:val="22"/>
        </w:rPr>
        <w:t xml:space="preserve"> to</w:t>
      </w:r>
      <w:proofErr w:type="gramEnd"/>
      <w:r w:rsidRPr="006F1CD5">
        <w:rPr>
          <w:sz w:val="22"/>
        </w:rPr>
        <w:t xml:space="preserve"> engage with the broadest possible range of stakeholders</w:t>
      </w:r>
      <w:r w:rsidR="008C4004" w:rsidRPr="006F1CD5">
        <w:rPr>
          <w:sz w:val="22"/>
        </w:rPr>
        <w:t>,</w:t>
      </w:r>
      <w:r w:rsidRPr="006F1CD5">
        <w:rPr>
          <w:sz w:val="22"/>
        </w:rPr>
        <w:t xml:space="preserve"> and Fields </w:t>
      </w:r>
      <w:r w:rsidR="00CB6B46" w:rsidRPr="006F1CD5">
        <w:rPr>
          <w:sz w:val="22"/>
        </w:rPr>
        <w:t xml:space="preserve">need to </w:t>
      </w:r>
      <w:r w:rsidRPr="006F1CD5">
        <w:rPr>
          <w:sz w:val="22"/>
        </w:rPr>
        <w:t xml:space="preserve">help us </w:t>
      </w:r>
      <w:r w:rsidR="00D5254F" w:rsidRPr="006F1CD5">
        <w:rPr>
          <w:sz w:val="22"/>
        </w:rPr>
        <w:t>do thi</w:t>
      </w:r>
      <w:r w:rsidRPr="006F1CD5">
        <w:rPr>
          <w:sz w:val="22"/>
        </w:rPr>
        <w:t>s</w:t>
      </w:r>
      <w:r w:rsidR="00D5254F" w:rsidRPr="006F1CD5">
        <w:rPr>
          <w:sz w:val="22"/>
        </w:rPr>
        <w:t xml:space="preserve"> </w:t>
      </w:r>
      <w:r w:rsidR="00CB6B46" w:rsidRPr="006F1CD5">
        <w:rPr>
          <w:sz w:val="22"/>
        </w:rPr>
        <w:t xml:space="preserve">more </w:t>
      </w:r>
      <w:r w:rsidR="00D5254F" w:rsidRPr="006F1CD5">
        <w:rPr>
          <w:sz w:val="22"/>
        </w:rPr>
        <w:t>as</w:t>
      </w:r>
      <w:r w:rsidRPr="006F1CD5">
        <w:rPr>
          <w:sz w:val="22"/>
        </w:rPr>
        <w:t xml:space="preserve"> an externally facing, stakeholder-driven Group type </w:t>
      </w:r>
      <w:r w:rsidR="00CB6B46" w:rsidRPr="006F1CD5">
        <w:rPr>
          <w:sz w:val="22"/>
        </w:rPr>
        <w:t>interacting</w:t>
      </w:r>
      <w:r w:rsidRPr="006F1CD5">
        <w:rPr>
          <w:sz w:val="22"/>
        </w:rPr>
        <w:t xml:space="preserve"> with end users </w:t>
      </w:r>
      <w:r w:rsidR="00FE5E81" w:rsidRPr="006F1CD5">
        <w:rPr>
          <w:sz w:val="22"/>
        </w:rPr>
        <w:t>to</w:t>
      </w:r>
      <w:r w:rsidRPr="006F1CD5">
        <w:rPr>
          <w:sz w:val="22"/>
        </w:rPr>
        <w:t xml:space="preserve"> increase the uptake of our evidence into health decision</w:t>
      </w:r>
      <w:r w:rsidR="00656595" w:rsidRPr="006F1CD5">
        <w:rPr>
          <w:sz w:val="22"/>
        </w:rPr>
        <w:t>-</w:t>
      </w:r>
      <w:r w:rsidRPr="006F1CD5">
        <w:rPr>
          <w:sz w:val="22"/>
        </w:rPr>
        <w:t xml:space="preserve">making. This is particularly important </w:t>
      </w:r>
      <w:r w:rsidR="00866060" w:rsidRPr="006F1CD5">
        <w:rPr>
          <w:sz w:val="22"/>
        </w:rPr>
        <w:t xml:space="preserve">in areas where currently </w:t>
      </w:r>
      <w:r w:rsidR="00750195" w:rsidRPr="006F1CD5">
        <w:rPr>
          <w:sz w:val="22"/>
        </w:rPr>
        <w:t xml:space="preserve">there </w:t>
      </w:r>
      <w:r w:rsidR="00866060" w:rsidRPr="006F1CD5">
        <w:rPr>
          <w:sz w:val="22"/>
        </w:rPr>
        <w:t>is no stakeholder engagement</w:t>
      </w:r>
      <w:r w:rsidR="009D7130" w:rsidRPr="006F1CD5">
        <w:rPr>
          <w:sz w:val="22"/>
        </w:rPr>
        <w:t>:</w:t>
      </w:r>
      <w:r w:rsidR="00866060" w:rsidRPr="006F1CD5">
        <w:rPr>
          <w:sz w:val="22"/>
        </w:rPr>
        <w:t xml:space="preserve"> either because </w:t>
      </w:r>
      <w:r w:rsidR="009D7130" w:rsidRPr="006F1CD5">
        <w:rPr>
          <w:sz w:val="22"/>
        </w:rPr>
        <w:t xml:space="preserve">the tight focus of many </w:t>
      </w:r>
      <w:r w:rsidR="00B41E5A" w:rsidRPr="006F1CD5">
        <w:rPr>
          <w:sz w:val="22"/>
        </w:rPr>
        <w:t xml:space="preserve">Cochrane </w:t>
      </w:r>
      <w:r w:rsidR="009D7130" w:rsidRPr="006F1CD5">
        <w:rPr>
          <w:sz w:val="22"/>
        </w:rPr>
        <w:t xml:space="preserve">Review Groups </w:t>
      </w:r>
      <w:r w:rsidR="00B41E5A" w:rsidRPr="006F1CD5">
        <w:rPr>
          <w:sz w:val="22"/>
        </w:rPr>
        <w:t xml:space="preserve">(CRGs) </w:t>
      </w:r>
      <w:r w:rsidR="009D7130" w:rsidRPr="006F1CD5">
        <w:rPr>
          <w:sz w:val="22"/>
        </w:rPr>
        <w:t>do</w:t>
      </w:r>
      <w:r w:rsidR="00656595" w:rsidRPr="006F1CD5">
        <w:rPr>
          <w:sz w:val="22"/>
        </w:rPr>
        <w:t>es</w:t>
      </w:r>
      <w:r w:rsidR="009D7130" w:rsidRPr="006F1CD5">
        <w:rPr>
          <w:sz w:val="22"/>
        </w:rPr>
        <w:t xml:space="preserve"> not correspond to the identities or groupings of </w:t>
      </w:r>
      <w:r w:rsidR="0089187E" w:rsidRPr="006F1CD5">
        <w:rPr>
          <w:sz w:val="22"/>
        </w:rPr>
        <w:t xml:space="preserve">external </w:t>
      </w:r>
      <w:r w:rsidR="00FE5E81" w:rsidRPr="006F1CD5">
        <w:rPr>
          <w:sz w:val="22"/>
        </w:rPr>
        <w:t>stakeholders</w:t>
      </w:r>
      <w:r w:rsidR="00866060" w:rsidRPr="006F1CD5">
        <w:rPr>
          <w:sz w:val="22"/>
        </w:rPr>
        <w:t xml:space="preserve">, or because there is insufficient capacity in the relevant </w:t>
      </w:r>
      <w:r w:rsidR="00FA607D" w:rsidRPr="006F1CD5">
        <w:rPr>
          <w:sz w:val="22"/>
        </w:rPr>
        <w:t xml:space="preserve">Review </w:t>
      </w:r>
      <w:r w:rsidR="00866060" w:rsidRPr="006F1CD5">
        <w:rPr>
          <w:sz w:val="22"/>
        </w:rPr>
        <w:t xml:space="preserve">Group. </w:t>
      </w:r>
      <w:r w:rsidR="00D45B80" w:rsidRPr="006F1CD5">
        <w:rPr>
          <w:sz w:val="22"/>
        </w:rPr>
        <w:t xml:space="preserve">The KT Strategy promotes a more integrated KT approach within Cochrane based on the KT needs of a </w:t>
      </w:r>
      <w:r w:rsidR="007C72D4" w:rsidRPr="006F1CD5">
        <w:rPr>
          <w:sz w:val="22"/>
        </w:rPr>
        <w:t>topic</w:t>
      </w:r>
      <w:r w:rsidR="00D45B80" w:rsidRPr="006F1CD5">
        <w:rPr>
          <w:sz w:val="22"/>
        </w:rPr>
        <w:t xml:space="preserve"> or review. We must build a firmer base for collaboration between Cochrane Review Groups (CRGs) and Fields in the review process, as Fields bring skills, contacts and resources needed to support CRGs in prioritizing their work.</w:t>
      </w:r>
      <w:r w:rsidR="00002DDB" w:rsidRPr="006F1CD5">
        <w:rPr>
          <w:sz w:val="22"/>
        </w:rPr>
        <w:t xml:space="preserve"> </w:t>
      </w:r>
      <w:r w:rsidR="00866060" w:rsidRPr="006F1CD5">
        <w:rPr>
          <w:sz w:val="22"/>
        </w:rPr>
        <w:t>In particular,</w:t>
      </w:r>
      <w:r w:rsidR="007C3EAE" w:rsidRPr="006F1CD5">
        <w:rPr>
          <w:sz w:val="22"/>
        </w:rPr>
        <w:t xml:space="preserve"> we have an opportunity</w:t>
      </w:r>
      <w:r w:rsidR="00866060" w:rsidRPr="006F1CD5">
        <w:rPr>
          <w:sz w:val="22"/>
        </w:rPr>
        <w:t xml:space="preserve"> to address the </w:t>
      </w:r>
      <w:r w:rsidR="00FA607D" w:rsidRPr="006F1CD5">
        <w:rPr>
          <w:sz w:val="22"/>
        </w:rPr>
        <w:t xml:space="preserve">needs of </w:t>
      </w:r>
      <w:r w:rsidR="00D45B80" w:rsidRPr="006F1CD5">
        <w:rPr>
          <w:sz w:val="22"/>
        </w:rPr>
        <w:t>external</w:t>
      </w:r>
      <w:r w:rsidR="00866060" w:rsidRPr="006F1CD5">
        <w:rPr>
          <w:sz w:val="22"/>
        </w:rPr>
        <w:t xml:space="preserve"> stakeholders in a more meaningful way</w:t>
      </w:r>
      <w:r w:rsidR="007C3EAE" w:rsidRPr="006F1CD5">
        <w:rPr>
          <w:sz w:val="22"/>
        </w:rPr>
        <w:t xml:space="preserve"> through </w:t>
      </w:r>
      <w:r w:rsidR="00156615" w:rsidRPr="006F1CD5">
        <w:rPr>
          <w:sz w:val="22"/>
        </w:rPr>
        <w:t>aligning our Fields struc</w:t>
      </w:r>
      <w:r w:rsidR="0089187E" w:rsidRPr="006F1CD5">
        <w:rPr>
          <w:sz w:val="22"/>
        </w:rPr>
        <w:t xml:space="preserve">tures </w:t>
      </w:r>
      <w:r w:rsidR="00156615" w:rsidRPr="006F1CD5">
        <w:rPr>
          <w:sz w:val="22"/>
        </w:rPr>
        <w:t>in part</w:t>
      </w:r>
      <w:r w:rsidR="007C3EAE" w:rsidRPr="006F1CD5">
        <w:rPr>
          <w:sz w:val="22"/>
        </w:rPr>
        <w:t xml:space="preserve"> with the </w:t>
      </w:r>
      <w:r w:rsidR="0089187E" w:rsidRPr="006F1CD5">
        <w:rPr>
          <w:sz w:val="22"/>
        </w:rPr>
        <w:t xml:space="preserve">new </w:t>
      </w:r>
      <w:r w:rsidR="00D45B80" w:rsidRPr="006F1CD5">
        <w:rPr>
          <w:sz w:val="22"/>
        </w:rPr>
        <w:t>consolidated ‘</w:t>
      </w:r>
      <w:r w:rsidR="00866060" w:rsidRPr="006F1CD5">
        <w:rPr>
          <w:sz w:val="22"/>
        </w:rPr>
        <w:t>networks</w:t>
      </w:r>
      <w:r w:rsidR="00D45B80" w:rsidRPr="006F1CD5">
        <w:rPr>
          <w:sz w:val="22"/>
        </w:rPr>
        <w:t>’</w:t>
      </w:r>
      <w:r w:rsidR="00866060" w:rsidRPr="006F1CD5">
        <w:rPr>
          <w:sz w:val="22"/>
        </w:rPr>
        <w:t xml:space="preserve"> of CRGs</w:t>
      </w:r>
      <w:r w:rsidR="00656595" w:rsidRPr="006F1CD5">
        <w:rPr>
          <w:sz w:val="22"/>
        </w:rPr>
        <w:t xml:space="preserve"> that are under construction</w:t>
      </w:r>
      <w:r w:rsidR="00866060" w:rsidRPr="006F1CD5">
        <w:rPr>
          <w:sz w:val="22"/>
        </w:rPr>
        <w:t xml:space="preserve">. </w:t>
      </w:r>
    </w:p>
    <w:p w:rsidR="00E55624" w:rsidRDefault="00FA607D" w:rsidP="00576F24">
      <w:pPr>
        <w:pStyle w:val="BodyText"/>
        <w:spacing w:after="220"/>
      </w:pPr>
      <w:r w:rsidRPr="00002DDB">
        <w:t>Fields also have</w:t>
      </w:r>
      <w:r w:rsidR="00866060" w:rsidRPr="00002DDB">
        <w:t xml:space="preserve"> a role to play in supporting Centres in their geographical knowledge translation remit. Ma</w:t>
      </w:r>
      <w:r w:rsidR="00866060" w:rsidRPr="006F1CD5">
        <w:t xml:space="preserve">ny Centres will have well-established KT programmes and others will be developing more KT work over the coming years. It is </w:t>
      </w:r>
      <w:r w:rsidR="00A73D47" w:rsidRPr="006F1CD5">
        <w:t>important</w:t>
      </w:r>
      <w:r w:rsidR="00866060" w:rsidRPr="006F1CD5">
        <w:t xml:space="preserve"> that the KT work of </w:t>
      </w:r>
      <w:r w:rsidR="0026597A" w:rsidRPr="006F1CD5">
        <w:t>C</w:t>
      </w:r>
      <w:r w:rsidR="00866060" w:rsidRPr="006F1CD5">
        <w:t xml:space="preserve">entres intersects with </w:t>
      </w:r>
      <w:r w:rsidR="008C4004" w:rsidRPr="006F1CD5">
        <w:t xml:space="preserve">and complements </w:t>
      </w:r>
      <w:r w:rsidR="00866060" w:rsidRPr="006F1CD5">
        <w:t xml:space="preserve">the work of Fields, so that there is </w:t>
      </w:r>
      <w:r w:rsidR="008C4004" w:rsidRPr="006F1CD5">
        <w:t xml:space="preserve">maximum impact and </w:t>
      </w:r>
      <w:r w:rsidR="00866060" w:rsidRPr="006F1CD5">
        <w:t xml:space="preserve">minimal duplication of effort. </w:t>
      </w:r>
      <w:r w:rsidR="00656595" w:rsidRPr="00002DDB">
        <w:t>We</w:t>
      </w:r>
      <w:r w:rsidR="003F1ECD" w:rsidRPr="00002DDB">
        <w:t xml:space="preserve"> need to</w:t>
      </w:r>
      <w:r w:rsidR="0026597A" w:rsidRPr="00002DDB">
        <w:t xml:space="preserve"> </w:t>
      </w:r>
      <w:r w:rsidR="00A44852" w:rsidRPr="00002DDB">
        <w:t>promote</w:t>
      </w:r>
      <w:r w:rsidR="0026597A" w:rsidRPr="00002DDB">
        <w:t xml:space="preserve"> KT</w:t>
      </w:r>
      <w:r w:rsidR="00985B7B" w:rsidRPr="00002DDB">
        <w:t>-focussed</w:t>
      </w:r>
      <w:r w:rsidR="0026597A" w:rsidRPr="00002DDB">
        <w:t xml:space="preserve"> </w:t>
      </w:r>
      <w:r w:rsidR="00002DDB">
        <w:t>g</w:t>
      </w:r>
      <w:r w:rsidR="0026597A" w:rsidRPr="00002DDB">
        <w:t xml:space="preserve">roups within </w:t>
      </w:r>
      <w:r w:rsidR="00656595" w:rsidRPr="00002DDB">
        <w:t>c</w:t>
      </w:r>
      <w:r w:rsidR="0026597A" w:rsidRPr="00002DDB">
        <w:t>ountry</w:t>
      </w:r>
      <w:r w:rsidR="00656595" w:rsidRPr="00002DDB">
        <w:t>-based</w:t>
      </w:r>
      <w:r w:rsidR="0026597A" w:rsidRPr="00002DDB">
        <w:t xml:space="preserve"> structures which complement </w:t>
      </w:r>
      <w:r w:rsidR="00007269" w:rsidRPr="00002DDB">
        <w:t>exist</w:t>
      </w:r>
      <w:r w:rsidR="002614F0" w:rsidRPr="00002DDB">
        <w:t>ing</w:t>
      </w:r>
      <w:r w:rsidR="00A44852" w:rsidRPr="00002DDB">
        <w:t xml:space="preserve"> and future</w:t>
      </w:r>
      <w:r w:rsidR="00656595" w:rsidRPr="00002DDB">
        <w:t xml:space="preserve"> </w:t>
      </w:r>
      <w:r w:rsidR="00002DDB">
        <w:t xml:space="preserve">audience- and </w:t>
      </w:r>
      <w:r w:rsidR="00656595" w:rsidRPr="00002DDB">
        <w:t>topic-based</w:t>
      </w:r>
      <w:r w:rsidR="00007269" w:rsidRPr="00002DDB">
        <w:t xml:space="preserve"> Fields, allowing for partnerships to achieve </w:t>
      </w:r>
      <w:r w:rsidR="001906A3" w:rsidRPr="00002DDB">
        <w:t xml:space="preserve">an expansion of </w:t>
      </w:r>
      <w:r w:rsidR="00007269" w:rsidRPr="00002DDB">
        <w:t xml:space="preserve">local implementation of the work done in specific topic areas </w:t>
      </w:r>
      <w:r w:rsidR="00002DDB">
        <w:t xml:space="preserve">and targeted at specific audiences </w:t>
      </w:r>
      <w:r w:rsidR="00007269" w:rsidRPr="00002DDB">
        <w:t xml:space="preserve">by Fields. </w:t>
      </w:r>
      <w:r w:rsidR="006F34BC" w:rsidRPr="00002DDB">
        <w:t>In time</w:t>
      </w:r>
      <w:r w:rsidR="0094600D" w:rsidRPr="00002DDB">
        <w:t>,</w:t>
      </w:r>
      <w:r w:rsidR="006F34BC" w:rsidRPr="00002DDB">
        <w:t xml:space="preserve"> we aspire for </w:t>
      </w:r>
      <w:r w:rsidR="00656595" w:rsidRPr="00002DDB">
        <w:t xml:space="preserve">all </w:t>
      </w:r>
      <w:r w:rsidR="006F34BC" w:rsidRPr="00002DDB">
        <w:t>Fields to have large networks, so that they can connect with geographically</w:t>
      </w:r>
      <w:r w:rsidR="00002DDB">
        <w:t>-</w:t>
      </w:r>
      <w:r w:rsidR="006F34BC" w:rsidRPr="00002DDB">
        <w:t xml:space="preserve">based </w:t>
      </w:r>
      <w:r w:rsidR="0094600D" w:rsidRPr="00002DDB">
        <w:t>G</w:t>
      </w:r>
      <w:r w:rsidR="006F34BC" w:rsidRPr="00002DDB">
        <w:t>roups effectively.</w:t>
      </w:r>
    </w:p>
    <w:p w:rsidR="00A73D47" w:rsidRPr="00002DDB" w:rsidRDefault="00236772" w:rsidP="00DF5FC1">
      <w:pPr>
        <w:pStyle w:val="BodyText"/>
      </w:pPr>
      <w:r w:rsidRPr="00002DDB">
        <w:t xml:space="preserve">The </w:t>
      </w:r>
      <w:r w:rsidR="00985B7B" w:rsidRPr="00002DDB">
        <w:t>KT Strategy</w:t>
      </w:r>
      <w:r w:rsidR="00002DDB">
        <w:t xml:space="preserve"> is</w:t>
      </w:r>
      <w:r w:rsidRPr="00002DDB">
        <w:t xml:space="preserve"> being </w:t>
      </w:r>
      <w:r w:rsidR="00E31C43" w:rsidRPr="00002DDB">
        <w:t>submitted</w:t>
      </w:r>
      <w:r w:rsidRPr="00002DDB">
        <w:t xml:space="preserve"> for approval at the </w:t>
      </w:r>
      <w:r w:rsidR="00002DDB">
        <w:t xml:space="preserve">Governing </w:t>
      </w:r>
      <w:r w:rsidRPr="00002DDB">
        <w:t xml:space="preserve">Board meeting in Geneva, and </w:t>
      </w:r>
      <w:r w:rsidR="00E31C43" w:rsidRPr="00002DDB">
        <w:t xml:space="preserve">as </w:t>
      </w:r>
      <w:r w:rsidR="00002DDB">
        <w:t>Cochrane’s KT</w:t>
      </w:r>
      <w:r w:rsidR="00002DDB" w:rsidRPr="00002DDB">
        <w:t xml:space="preserve"> </w:t>
      </w:r>
      <w:r w:rsidR="00E31C43" w:rsidRPr="00002DDB">
        <w:t xml:space="preserve">implementation plans develop around the </w:t>
      </w:r>
      <w:r w:rsidR="00985B7B" w:rsidRPr="00002DDB">
        <w:t>Strategy</w:t>
      </w:r>
      <w:r w:rsidR="00E31C43" w:rsidRPr="00002DDB">
        <w:t xml:space="preserve"> </w:t>
      </w:r>
      <w:r w:rsidR="00002DDB">
        <w:t>more details on the implications for Fields will emerge</w:t>
      </w:r>
      <w:r w:rsidR="0094600D" w:rsidRPr="00002DDB">
        <w:t xml:space="preserve">. </w:t>
      </w:r>
      <w:r w:rsidR="007C72D4">
        <w:t xml:space="preserve">This set of proposals is, therefore, </w:t>
      </w:r>
      <w:r w:rsidR="00E31C43" w:rsidRPr="00002DDB">
        <w:t xml:space="preserve">a </w:t>
      </w:r>
      <w:r w:rsidR="00656595" w:rsidRPr="00002DDB">
        <w:t>strategic-</w:t>
      </w:r>
      <w:r w:rsidR="00E31C43" w:rsidRPr="00002DDB">
        <w:t xml:space="preserve">level document setting out a proposed plan for new structures and functions, which will evolve as it is implemented. </w:t>
      </w:r>
    </w:p>
    <w:p w:rsidR="00BF3CA2" w:rsidRPr="00304599" w:rsidRDefault="00BF3CA2" w:rsidP="00DF5FC1">
      <w:pPr>
        <w:pStyle w:val="BodyText"/>
      </w:pPr>
    </w:p>
    <w:p w:rsidR="008216F0" w:rsidRPr="00304599" w:rsidRDefault="00BF3CA2" w:rsidP="00C17017">
      <w:pPr>
        <w:pStyle w:val="Heading1"/>
      </w:pPr>
      <w:r>
        <w:tab/>
      </w:r>
      <w:r w:rsidR="008216F0" w:rsidRPr="00304599">
        <w:t>Background</w:t>
      </w:r>
    </w:p>
    <w:p w:rsidR="00B80001" w:rsidRDefault="00B80001" w:rsidP="002C3BEA">
      <w:pPr>
        <w:pStyle w:val="BodyText"/>
      </w:pPr>
      <w:r>
        <w:t xml:space="preserve">The existing role of Fields is outlined on the Cochrane Community website here:  </w:t>
      </w:r>
      <w:hyperlink r:id="rId11" w:history="1">
        <w:r w:rsidRPr="00790BD0">
          <w:rPr>
            <w:rStyle w:val="Hyperlink"/>
          </w:rPr>
          <w:t>http://community.cochrane.org/organizational-info/resources/resources-groups/fields-info</w:t>
        </w:r>
      </w:hyperlink>
      <w:r w:rsidRPr="00B80001">
        <w:t xml:space="preserve"> and the</w:t>
      </w:r>
      <w:r>
        <w:t xml:space="preserve"> current list of Fields is available here: </w:t>
      </w:r>
      <w:hyperlink r:id="rId12" w:history="1">
        <w:r w:rsidRPr="00790BD0">
          <w:rPr>
            <w:rStyle w:val="Hyperlink"/>
          </w:rPr>
          <w:t>http://www.cochrane.org/contact/fields</w:t>
        </w:r>
      </w:hyperlink>
      <w:r w:rsidR="00656595">
        <w:rPr>
          <w:rStyle w:val="Hyperlink"/>
        </w:rPr>
        <w:t>.</w:t>
      </w:r>
    </w:p>
    <w:p w:rsidR="00BF3CA2" w:rsidRDefault="00B80001" w:rsidP="00B80001">
      <w:pPr>
        <w:pStyle w:val="BodyText"/>
      </w:pPr>
      <w:r>
        <w:t xml:space="preserve">When we initiated the </w:t>
      </w:r>
      <w:r w:rsidR="005B710F">
        <w:t>S</w:t>
      </w:r>
      <w:r>
        <w:t xml:space="preserve">tructure and </w:t>
      </w:r>
      <w:r w:rsidR="005B710F">
        <w:t>F</w:t>
      </w:r>
      <w:r>
        <w:t xml:space="preserve">unction </w:t>
      </w:r>
      <w:r w:rsidR="005B710F">
        <w:t>R</w:t>
      </w:r>
      <w:r>
        <w:t>eview of Fields we established a c</w:t>
      </w:r>
      <w:r w:rsidR="00DA4C07">
        <w:t>omprehensive</w:t>
      </w:r>
      <w:r w:rsidR="008216F0">
        <w:t xml:space="preserve"> rationale for change</w:t>
      </w:r>
      <w:r w:rsidR="00DA4C07">
        <w:t xml:space="preserve"> in the way that Fields operate</w:t>
      </w:r>
      <w:r>
        <w:t xml:space="preserve">. </w:t>
      </w:r>
      <w:r w:rsidR="007C72D4">
        <w:t>This</w:t>
      </w:r>
      <w:r>
        <w:t xml:space="preserve"> will not </w:t>
      </w:r>
      <w:r w:rsidR="007C72D4">
        <w:t xml:space="preserve">be </w:t>
      </w:r>
      <w:r>
        <w:t>reproduce</w:t>
      </w:r>
      <w:r w:rsidR="007C72D4">
        <w:t xml:space="preserve">d </w:t>
      </w:r>
      <w:r>
        <w:t xml:space="preserve">here, but </w:t>
      </w:r>
      <w:r w:rsidR="008216F0">
        <w:t xml:space="preserve">is available </w:t>
      </w:r>
      <w:r w:rsidR="007C72D4">
        <w:t>at</w:t>
      </w:r>
      <w:r w:rsidR="008216F0">
        <w:t xml:space="preserve">: </w:t>
      </w:r>
      <w:hyperlink r:id="rId13" w:history="1">
        <w:r w:rsidR="008216F0" w:rsidRPr="0091484B">
          <w:rPr>
            <w:rStyle w:val="Hyperlink"/>
          </w:rPr>
          <w:t>https://tinyurl.com/jsxx79o</w:t>
        </w:r>
      </w:hyperlink>
      <w:r w:rsidR="00BF3CA2">
        <w:t>.</w:t>
      </w:r>
    </w:p>
    <w:p w:rsidR="007C72D4" w:rsidRPr="008216F0" w:rsidRDefault="007C72D4" w:rsidP="00B80001">
      <w:pPr>
        <w:pStyle w:val="BodyText"/>
      </w:pPr>
    </w:p>
    <w:p w:rsidR="006E7D39" w:rsidRDefault="00BF3CA2" w:rsidP="00BF3CA2">
      <w:pPr>
        <w:pStyle w:val="Heading1"/>
        <w:ind w:left="709" w:hanging="709"/>
      </w:pPr>
      <w:r>
        <w:tab/>
      </w:r>
      <w:r w:rsidR="00A73D47">
        <w:t>Cochrane</w:t>
      </w:r>
      <w:r>
        <w:t>’s</w:t>
      </w:r>
      <w:r w:rsidR="00A73D47">
        <w:t xml:space="preserve"> </w:t>
      </w:r>
      <w:bookmarkStart w:id="1" w:name="_Toc430613451"/>
      <w:bookmarkStart w:id="2" w:name="_Toc476132572"/>
      <w:r w:rsidR="00987227">
        <w:t xml:space="preserve">Knowledge </w:t>
      </w:r>
      <w:r w:rsidR="00656595">
        <w:t>Translation</w:t>
      </w:r>
      <w:r w:rsidR="00985B7B">
        <w:t xml:space="preserve"> </w:t>
      </w:r>
      <w:r w:rsidR="00A73D47">
        <w:t>Strategy</w:t>
      </w:r>
      <w:bookmarkEnd w:id="1"/>
      <w:bookmarkEnd w:id="2"/>
    </w:p>
    <w:p w:rsidR="0094600D" w:rsidRPr="00324107" w:rsidRDefault="0094600D" w:rsidP="0094600D">
      <w:pPr>
        <w:pStyle w:val="BodyText"/>
        <w:rPr>
          <w:lang w:val="en-AU"/>
        </w:rPr>
      </w:pPr>
      <w:r w:rsidRPr="00324107">
        <w:t xml:space="preserve">Cochrane’s vision is </w:t>
      </w:r>
      <w:r w:rsidRPr="00324107">
        <w:rPr>
          <w:lang w:val="en-AU"/>
        </w:rPr>
        <w:t xml:space="preserve">a world of improved health where decisions about health and health care are informed by high-quality, relevant and up-to-date synthesized research evidence. Realisation of this vision relies on </w:t>
      </w:r>
      <w:r w:rsidR="00372D42">
        <w:rPr>
          <w:lang w:val="en-AU"/>
        </w:rPr>
        <w:t xml:space="preserve">the </w:t>
      </w:r>
      <w:r w:rsidRPr="00324107">
        <w:rPr>
          <w:lang w:val="en-AU"/>
        </w:rPr>
        <w:t xml:space="preserve">production of Cochrane </w:t>
      </w:r>
      <w:r>
        <w:rPr>
          <w:lang w:val="en-AU"/>
        </w:rPr>
        <w:t>R</w:t>
      </w:r>
      <w:r w:rsidRPr="00324107">
        <w:rPr>
          <w:lang w:val="en-AU"/>
        </w:rPr>
        <w:t>eviews, and effective strategies to facilitate their use.</w:t>
      </w:r>
    </w:p>
    <w:p w:rsidR="0094600D" w:rsidRPr="00324107" w:rsidRDefault="0094600D" w:rsidP="00774310">
      <w:pPr>
        <w:pStyle w:val="BodyText"/>
      </w:pPr>
      <w:r w:rsidRPr="00324107">
        <w:t xml:space="preserve">KT is at the core of Cochrane’s </w:t>
      </w:r>
      <w:r w:rsidRPr="00324107">
        <w:rPr>
          <w:i/>
        </w:rPr>
        <w:t>Strategy to 2020</w:t>
      </w:r>
      <w:r w:rsidRPr="00324107">
        <w:t>. Goals two and three are focused on engagement and meeting the needs of our existing and potential users</w:t>
      </w:r>
      <w:r w:rsidR="00E21FC7">
        <w:t xml:space="preserve">; </w:t>
      </w:r>
      <w:proofErr w:type="gramStart"/>
      <w:r w:rsidR="00E21FC7">
        <w:t>so</w:t>
      </w:r>
      <w:proofErr w:type="gramEnd"/>
      <w:r w:rsidR="00E21FC7">
        <w:t xml:space="preserve"> a</w:t>
      </w:r>
      <w:r w:rsidRPr="00324107">
        <w:rPr>
          <w:lang w:val="en-US"/>
        </w:rPr>
        <w:t xml:space="preserve"> </w:t>
      </w:r>
      <w:r w:rsidR="00A81516">
        <w:rPr>
          <w:lang w:val="en-US"/>
        </w:rPr>
        <w:t xml:space="preserve">Cochrane </w:t>
      </w:r>
      <w:r w:rsidRPr="00324107">
        <w:rPr>
          <w:lang w:val="en-US"/>
        </w:rPr>
        <w:t xml:space="preserve">KT Strategy is a vital counterpoint to all the money and time invested in producing Cochrane reviews. As an organization </w:t>
      </w:r>
      <w:r w:rsidR="00A81516">
        <w:rPr>
          <w:lang w:val="en-US"/>
        </w:rPr>
        <w:t>committed to</w:t>
      </w:r>
      <w:r w:rsidRPr="00324107">
        <w:rPr>
          <w:lang w:val="en-US"/>
        </w:rPr>
        <w:t xml:space="preserve"> knowledge generation</w:t>
      </w:r>
      <w:r>
        <w:rPr>
          <w:lang w:val="en-US"/>
        </w:rPr>
        <w:t xml:space="preserve"> and synthesis</w:t>
      </w:r>
      <w:r w:rsidRPr="00324107">
        <w:rPr>
          <w:lang w:val="en-US"/>
        </w:rPr>
        <w:t xml:space="preserve">, we </w:t>
      </w:r>
      <w:r w:rsidR="00576F24">
        <w:rPr>
          <w:lang w:val="en-US"/>
        </w:rPr>
        <w:t>must</w:t>
      </w:r>
      <w:r w:rsidRPr="00324107">
        <w:rPr>
          <w:lang w:val="en-US"/>
        </w:rPr>
        <w:t xml:space="preserve"> take responsibility for getting our knowledge used. </w:t>
      </w:r>
    </w:p>
    <w:p w:rsidR="00C83E93" w:rsidRDefault="00C83E93" w:rsidP="008216F0">
      <w:pPr>
        <w:pStyle w:val="BodyText"/>
      </w:pPr>
      <w:r>
        <w:t xml:space="preserve">Through the implementation of the </w:t>
      </w:r>
      <w:r w:rsidR="00985B7B">
        <w:t>KT Strategy</w:t>
      </w:r>
      <w:r>
        <w:t xml:space="preserve"> we want to see a significant culture change in Cochrane towards </w:t>
      </w:r>
      <w:r w:rsidR="000201DA">
        <w:t xml:space="preserve">becoming </w:t>
      </w:r>
      <w:r>
        <w:t xml:space="preserve">a KT-centred organisation where KT is considered a vital part of all </w:t>
      </w:r>
      <w:r w:rsidR="007F0052">
        <w:t>activities</w:t>
      </w:r>
      <w:r>
        <w:t xml:space="preserve"> we undertake. </w:t>
      </w:r>
    </w:p>
    <w:p w:rsidR="00F90A44" w:rsidRPr="001138A9" w:rsidRDefault="00666798" w:rsidP="007C72D4">
      <w:pPr>
        <w:pStyle w:val="BodyText"/>
        <w:spacing w:after="240"/>
      </w:pPr>
      <w:r>
        <w:t xml:space="preserve">The </w:t>
      </w:r>
      <w:r w:rsidR="00985B7B">
        <w:t>KT Strategy</w:t>
      </w:r>
      <w:r w:rsidR="0068394C" w:rsidRPr="001138A9">
        <w:t xml:space="preserve"> highlight</w:t>
      </w:r>
      <w:r>
        <w:t>s</w:t>
      </w:r>
      <w:r w:rsidR="0068394C" w:rsidRPr="001138A9">
        <w:t xml:space="preserve"> </w:t>
      </w:r>
      <w:r w:rsidR="00C83E93">
        <w:t xml:space="preserve">six </w:t>
      </w:r>
      <w:r w:rsidR="0068394C" w:rsidRPr="001138A9">
        <w:t xml:space="preserve">key </w:t>
      </w:r>
      <w:r w:rsidR="00C83E93">
        <w:t xml:space="preserve">thematic </w:t>
      </w:r>
      <w:r w:rsidR="0068394C" w:rsidRPr="001138A9">
        <w:t>areas of focus for Cochrane’s KT work</w:t>
      </w:r>
      <w:r w:rsidR="000201DA">
        <w:t>;</w:t>
      </w:r>
      <w:r w:rsidR="0068394C" w:rsidRPr="001138A9">
        <w:t xml:space="preserve"> and </w:t>
      </w:r>
      <w:r w:rsidR="007F0052">
        <w:t>establishes</w:t>
      </w:r>
      <w:r w:rsidR="00C83E93">
        <w:t xml:space="preserve"> four primary</w:t>
      </w:r>
      <w:r w:rsidR="0068394C" w:rsidRPr="001138A9">
        <w:t xml:space="preserve"> audiences we should be serving. This </w:t>
      </w:r>
      <w:r w:rsidR="00C83E93">
        <w:t>allows</w:t>
      </w:r>
      <w:r w:rsidR="00C83E93" w:rsidRPr="001138A9">
        <w:t xml:space="preserve"> </w:t>
      </w:r>
      <w:r w:rsidR="0068394C" w:rsidRPr="001138A9">
        <w:t xml:space="preserve">us </w:t>
      </w:r>
      <w:r w:rsidR="00C83E93">
        <w:t xml:space="preserve">to </w:t>
      </w:r>
      <w:r w:rsidR="0068394C" w:rsidRPr="001138A9">
        <w:t xml:space="preserve">draw boundaries around what </w:t>
      </w:r>
      <w:r w:rsidR="00FC4761" w:rsidRPr="001138A9">
        <w:t>Cochrane’s KT role should</w:t>
      </w:r>
      <w:r w:rsidR="00F90A44" w:rsidRPr="001138A9">
        <w:t xml:space="preserve"> be and</w:t>
      </w:r>
      <w:r w:rsidR="001E1432">
        <w:t>,</w:t>
      </w:r>
      <w:r w:rsidR="00F90A44" w:rsidRPr="001138A9">
        <w:t xml:space="preserve"> importantly</w:t>
      </w:r>
      <w:r w:rsidR="001E1432">
        <w:t>,</w:t>
      </w:r>
      <w:r w:rsidR="00F90A44" w:rsidRPr="001138A9">
        <w:t xml:space="preserve"> allows us to think again about the role that Fields could play in Cochrane </w:t>
      </w:r>
      <w:r w:rsidR="006810E5">
        <w:t>in their domain</w:t>
      </w:r>
      <w:r w:rsidR="00C83E93">
        <w:rPr>
          <w:rStyle w:val="FootnoteReference"/>
        </w:rPr>
        <w:footnoteReference w:id="1"/>
      </w:r>
      <w:r w:rsidR="00F90A44" w:rsidRPr="001138A9">
        <w:t xml:space="preserve">. </w:t>
      </w:r>
    </w:p>
    <w:p w:rsidR="0068394C" w:rsidRPr="006F1CD5" w:rsidRDefault="002C3BEA" w:rsidP="0094600D">
      <w:pPr>
        <w:pStyle w:val="PagesIntroduction"/>
        <w:rPr>
          <w:sz w:val="32"/>
          <w:szCs w:val="32"/>
        </w:rPr>
      </w:pPr>
      <w:r>
        <w:rPr>
          <w:sz w:val="32"/>
          <w:szCs w:val="32"/>
        </w:rPr>
        <w:t>3.1</w:t>
      </w:r>
      <w:r>
        <w:rPr>
          <w:sz w:val="32"/>
          <w:szCs w:val="32"/>
        </w:rPr>
        <w:tab/>
      </w:r>
      <w:r w:rsidR="0068394C" w:rsidRPr="006F1CD5">
        <w:rPr>
          <w:sz w:val="32"/>
          <w:szCs w:val="32"/>
        </w:rPr>
        <w:t>The six themes</w:t>
      </w:r>
      <w:r w:rsidR="00FD657F" w:rsidRPr="006F1CD5">
        <w:rPr>
          <w:sz w:val="32"/>
          <w:szCs w:val="32"/>
        </w:rPr>
        <w:t xml:space="preserve"> of the </w:t>
      </w:r>
      <w:r>
        <w:rPr>
          <w:sz w:val="32"/>
          <w:szCs w:val="32"/>
        </w:rPr>
        <w:t>S</w:t>
      </w:r>
      <w:r w:rsidR="00FD657F" w:rsidRPr="006F1CD5">
        <w:rPr>
          <w:sz w:val="32"/>
          <w:szCs w:val="32"/>
        </w:rPr>
        <w:t>trategy</w:t>
      </w:r>
    </w:p>
    <w:p w:rsidR="002177FD" w:rsidRPr="002C3BEA" w:rsidRDefault="002177FD" w:rsidP="006F1CD5">
      <w:pPr>
        <w:pStyle w:val="Heading3"/>
        <w:numPr>
          <w:ilvl w:val="0"/>
          <w:numId w:val="0"/>
        </w:numPr>
        <w:spacing w:before="0"/>
        <w:jc w:val="both"/>
      </w:pPr>
      <w:r w:rsidRPr="002C3BEA">
        <w:t>Theme One: Prioritisation and co-production of Cochrane reviews.</w:t>
      </w:r>
    </w:p>
    <w:p w:rsidR="002177FD" w:rsidRPr="006F1CD5" w:rsidRDefault="002177FD" w:rsidP="006F1CD5">
      <w:pPr>
        <w:pStyle w:val="PagesBodytext"/>
        <w:spacing w:after="120" w:line="240" w:lineRule="auto"/>
        <w:jc w:val="both"/>
        <w:rPr>
          <w:i/>
          <w:color w:val="962D91" w:themeColor="background2"/>
          <w:sz w:val="22"/>
        </w:rPr>
      </w:pPr>
      <w:r w:rsidRPr="006F1CD5">
        <w:rPr>
          <w:i/>
          <w:color w:val="962D91" w:themeColor="background2"/>
          <w:sz w:val="22"/>
        </w:rPr>
        <w:t>Producing reviews which meet the needs of our users</w:t>
      </w:r>
    </w:p>
    <w:p w:rsidR="002177FD" w:rsidRPr="006F1CD5" w:rsidRDefault="002177FD" w:rsidP="006F1CD5">
      <w:pPr>
        <w:pStyle w:val="PagesBodytext"/>
        <w:spacing w:after="120" w:line="240" w:lineRule="auto"/>
        <w:jc w:val="both"/>
        <w:rPr>
          <w:sz w:val="22"/>
          <w:lang w:val="en-US"/>
        </w:rPr>
      </w:pPr>
      <w:r w:rsidRPr="006F1CD5">
        <w:rPr>
          <w:sz w:val="22"/>
        </w:rPr>
        <w:t xml:space="preserve">This theme describes stakeholder engagement throughout the review production process. </w:t>
      </w:r>
      <w:r w:rsidRPr="006F1CD5">
        <w:rPr>
          <w:sz w:val="22"/>
          <w:lang w:val="en-US"/>
        </w:rPr>
        <w:t>Activities in this theme focus on considering KT during all stages of review development and production, actively involving key stakeholders in topic and question selection, design, execution, interpretation and dissemination</w:t>
      </w:r>
      <w:r w:rsidRPr="006F1CD5">
        <w:rPr>
          <w:sz w:val="22"/>
        </w:rPr>
        <w:t> </w:t>
      </w:r>
      <w:r w:rsidRPr="006F1CD5">
        <w:rPr>
          <w:sz w:val="22"/>
          <w:lang w:val="en-US"/>
        </w:rPr>
        <w:t>of Cochrane content.</w:t>
      </w:r>
    </w:p>
    <w:p w:rsidR="002177FD" w:rsidRPr="002C3BEA" w:rsidRDefault="002177FD" w:rsidP="006F1CD5">
      <w:pPr>
        <w:pStyle w:val="Heading3"/>
        <w:numPr>
          <w:ilvl w:val="0"/>
          <w:numId w:val="0"/>
        </w:numPr>
        <w:spacing w:before="0"/>
        <w:jc w:val="both"/>
      </w:pPr>
      <w:r w:rsidRPr="002C3BEA">
        <w:t>Theme Two: Packaging, push and support to implementation</w:t>
      </w:r>
    </w:p>
    <w:p w:rsidR="002177FD" w:rsidRPr="006F1CD5" w:rsidRDefault="002177FD" w:rsidP="006F1CD5">
      <w:pPr>
        <w:pStyle w:val="PagesBodytext"/>
        <w:spacing w:after="120" w:line="240" w:lineRule="auto"/>
        <w:jc w:val="both"/>
        <w:rPr>
          <w:i/>
          <w:color w:val="962D91" w:themeColor="background2"/>
          <w:sz w:val="22"/>
        </w:rPr>
      </w:pPr>
      <w:r w:rsidRPr="006F1CD5">
        <w:rPr>
          <w:i/>
          <w:color w:val="962D91" w:themeColor="background2"/>
          <w:sz w:val="22"/>
        </w:rPr>
        <w:t xml:space="preserve">Ensuring our users receive and can act on our reviews </w:t>
      </w:r>
      <w:r w:rsidR="002A2F0F" w:rsidRPr="006F1CD5">
        <w:rPr>
          <w:i/>
          <w:color w:val="962D91" w:themeColor="background2"/>
          <w:sz w:val="22"/>
        </w:rPr>
        <w:t>and products</w:t>
      </w:r>
    </w:p>
    <w:p w:rsidR="002177FD" w:rsidRPr="006F1CD5" w:rsidRDefault="002177FD" w:rsidP="006F1CD5">
      <w:pPr>
        <w:pStyle w:val="PagesBodytext"/>
        <w:spacing w:after="120" w:line="240" w:lineRule="auto"/>
        <w:jc w:val="both"/>
        <w:rPr>
          <w:sz w:val="22"/>
        </w:rPr>
      </w:pPr>
      <w:r w:rsidRPr="006F1CD5">
        <w:rPr>
          <w:sz w:val="22"/>
        </w:rPr>
        <w:t xml:space="preserve">This theme describes a programme of work bridging production, dissemination and support to </w:t>
      </w:r>
      <w:r w:rsidR="000201DA" w:rsidRPr="006F1CD5">
        <w:rPr>
          <w:sz w:val="22"/>
        </w:rPr>
        <w:t>i</w:t>
      </w:r>
      <w:r w:rsidRPr="006F1CD5">
        <w:rPr>
          <w:sz w:val="22"/>
        </w:rPr>
        <w:t>mplementation through creating ‘fit for purpose’ reviews and disseminating these effectively.</w:t>
      </w:r>
    </w:p>
    <w:p w:rsidR="002177FD" w:rsidRPr="00333C67" w:rsidRDefault="002177FD" w:rsidP="006F1CD5">
      <w:pPr>
        <w:pStyle w:val="Heading3"/>
        <w:numPr>
          <w:ilvl w:val="0"/>
          <w:numId w:val="0"/>
        </w:numPr>
        <w:spacing w:before="0"/>
        <w:jc w:val="both"/>
      </w:pPr>
      <w:r w:rsidRPr="002C3BEA">
        <w:t>Theme Three: Facilitating pull</w:t>
      </w:r>
    </w:p>
    <w:p w:rsidR="002177FD" w:rsidRPr="006F1CD5" w:rsidRDefault="002177FD" w:rsidP="006F1CD5">
      <w:pPr>
        <w:pStyle w:val="PagesBodytext"/>
        <w:spacing w:after="120" w:line="240" w:lineRule="auto"/>
        <w:jc w:val="both"/>
        <w:rPr>
          <w:i/>
          <w:color w:val="962D91" w:themeColor="background2"/>
          <w:sz w:val="22"/>
        </w:rPr>
      </w:pPr>
      <w:r w:rsidRPr="006F1CD5">
        <w:rPr>
          <w:i/>
          <w:color w:val="962D91" w:themeColor="background2"/>
          <w:sz w:val="22"/>
        </w:rPr>
        <w:t>Growing our users’ capacity to find and use our reviews</w:t>
      </w:r>
    </w:p>
    <w:p w:rsidR="002177FD" w:rsidRPr="006F1CD5" w:rsidRDefault="002177FD" w:rsidP="006F1CD5">
      <w:pPr>
        <w:pStyle w:val="PagesBodytext"/>
        <w:spacing w:after="120" w:line="240" w:lineRule="auto"/>
        <w:jc w:val="both"/>
        <w:rPr>
          <w:sz w:val="22"/>
        </w:rPr>
      </w:pPr>
      <w:r w:rsidRPr="006F1CD5">
        <w:rPr>
          <w:sz w:val="22"/>
        </w:rPr>
        <w:t>This theme describes facilitating the use of Cochrane reviews in health decision-making through making Cochrane reviews easy to find in appropriate formats and languages</w:t>
      </w:r>
      <w:r w:rsidR="000201DA" w:rsidRPr="006F1CD5">
        <w:rPr>
          <w:sz w:val="22"/>
        </w:rPr>
        <w:t>,</w:t>
      </w:r>
      <w:r w:rsidRPr="006F1CD5">
        <w:rPr>
          <w:sz w:val="22"/>
        </w:rPr>
        <w:t xml:space="preserve"> and developing capacity in users to find and use our reviews and products.</w:t>
      </w:r>
      <w:r w:rsidRPr="006F1CD5">
        <w:rPr>
          <w:sz w:val="22"/>
        </w:rPr>
        <w:tab/>
      </w:r>
    </w:p>
    <w:p w:rsidR="002177FD" w:rsidRPr="002C3BEA" w:rsidRDefault="002177FD" w:rsidP="006F1CD5">
      <w:pPr>
        <w:pStyle w:val="Heading3"/>
        <w:numPr>
          <w:ilvl w:val="0"/>
          <w:numId w:val="0"/>
        </w:numPr>
        <w:spacing w:before="0"/>
        <w:jc w:val="both"/>
      </w:pPr>
      <w:r w:rsidRPr="002C3BEA">
        <w:t>Theme Four: Exchange</w:t>
      </w:r>
    </w:p>
    <w:p w:rsidR="002177FD" w:rsidRPr="006F1CD5" w:rsidRDefault="002177FD" w:rsidP="006F1CD5">
      <w:pPr>
        <w:pStyle w:val="PagesBodytext"/>
        <w:spacing w:after="120" w:line="240" w:lineRule="auto"/>
        <w:jc w:val="both"/>
        <w:rPr>
          <w:i/>
          <w:color w:val="962D91" w:themeColor="background2"/>
          <w:sz w:val="22"/>
        </w:rPr>
      </w:pPr>
      <w:r w:rsidRPr="006F1CD5">
        <w:rPr>
          <w:i/>
          <w:color w:val="962D91" w:themeColor="background2"/>
          <w:sz w:val="22"/>
        </w:rPr>
        <w:t xml:space="preserve">Engaging with our users to support their evidence informed decision making </w:t>
      </w:r>
    </w:p>
    <w:p w:rsidR="002177FD" w:rsidRPr="006F1CD5" w:rsidRDefault="002177FD" w:rsidP="006F1CD5">
      <w:pPr>
        <w:pStyle w:val="PagesBodytext"/>
        <w:spacing w:after="120" w:line="240" w:lineRule="auto"/>
        <w:jc w:val="both"/>
        <w:rPr>
          <w:sz w:val="22"/>
        </w:rPr>
      </w:pPr>
      <w:r w:rsidRPr="006F1CD5">
        <w:rPr>
          <w:sz w:val="22"/>
          <w:lang w:val="en-US"/>
        </w:rPr>
        <w:t xml:space="preserve">This theme describes a range of interactive approaches to build partner relationships and support their decision making for issues of importance to them. </w:t>
      </w:r>
      <w:r w:rsidRPr="006F1CD5" w:rsidDel="002E6371">
        <w:rPr>
          <w:sz w:val="22"/>
          <w:lang w:val="en-US"/>
        </w:rPr>
        <w:t xml:space="preserve"> </w:t>
      </w:r>
    </w:p>
    <w:p w:rsidR="002177FD" w:rsidRPr="00333C67" w:rsidRDefault="002177FD" w:rsidP="006F1CD5">
      <w:pPr>
        <w:pStyle w:val="Heading3"/>
        <w:numPr>
          <w:ilvl w:val="0"/>
          <w:numId w:val="0"/>
        </w:numPr>
        <w:spacing w:before="0"/>
        <w:jc w:val="both"/>
      </w:pPr>
      <w:r w:rsidRPr="002C3BEA">
        <w:t>Theme Five: Improving climate</w:t>
      </w:r>
    </w:p>
    <w:p w:rsidR="002177FD" w:rsidRPr="006F1CD5" w:rsidRDefault="002177FD" w:rsidP="006F1CD5">
      <w:pPr>
        <w:pStyle w:val="PagesBodytext"/>
        <w:spacing w:after="120" w:line="240" w:lineRule="auto"/>
        <w:jc w:val="both"/>
        <w:rPr>
          <w:i/>
          <w:color w:val="962D91" w:themeColor="background2"/>
          <w:sz w:val="22"/>
        </w:rPr>
      </w:pPr>
      <w:r w:rsidRPr="006F1CD5">
        <w:rPr>
          <w:i/>
          <w:color w:val="962D91" w:themeColor="background2"/>
          <w:sz w:val="22"/>
        </w:rPr>
        <w:t>Advocating for evidence informed health decision-making</w:t>
      </w:r>
    </w:p>
    <w:p w:rsidR="002177FD" w:rsidRPr="006F1CD5" w:rsidRDefault="002177FD" w:rsidP="006F1CD5">
      <w:pPr>
        <w:pStyle w:val="PagesBodytext"/>
        <w:spacing w:after="120" w:line="240" w:lineRule="auto"/>
        <w:jc w:val="both"/>
        <w:rPr>
          <w:sz w:val="22"/>
        </w:rPr>
      </w:pPr>
      <w:r w:rsidRPr="006F1CD5">
        <w:rPr>
          <w:sz w:val="22"/>
        </w:rPr>
        <w:t xml:space="preserve">This theme describes activities linked to Goal 3 of </w:t>
      </w:r>
      <w:r w:rsidRPr="006F1CD5">
        <w:rPr>
          <w:i/>
          <w:sz w:val="22"/>
        </w:rPr>
        <w:t>Strategy to 2020</w:t>
      </w:r>
      <w:r w:rsidRPr="006F1CD5">
        <w:rPr>
          <w:sz w:val="22"/>
        </w:rPr>
        <w:t>. As with themes three and four, activities under this theme are not grounded in KT for specific reviews. Instead</w:t>
      </w:r>
      <w:r w:rsidR="000201DA" w:rsidRPr="006F1CD5">
        <w:rPr>
          <w:sz w:val="22"/>
        </w:rPr>
        <w:t>,</w:t>
      </w:r>
      <w:r w:rsidRPr="006F1CD5">
        <w:rPr>
          <w:sz w:val="22"/>
        </w:rPr>
        <w:t xml:space="preserve"> work under this theme lays the foundation for the use of research evidence in general, and Cochrane outputs </w:t>
      </w:r>
      <w:proofErr w:type="gramStart"/>
      <w:r w:rsidRPr="006F1CD5">
        <w:rPr>
          <w:sz w:val="22"/>
        </w:rPr>
        <w:t>in particular, by</w:t>
      </w:r>
      <w:proofErr w:type="gramEnd"/>
      <w:r w:rsidRPr="006F1CD5">
        <w:rPr>
          <w:sz w:val="22"/>
        </w:rPr>
        <w:t xml:space="preserve"> promoting and advocating for the role of systematic reviews in evidence-informed decision-making. </w:t>
      </w:r>
    </w:p>
    <w:p w:rsidR="002177FD" w:rsidRPr="002C3BEA" w:rsidRDefault="002177FD" w:rsidP="006F1CD5">
      <w:pPr>
        <w:pStyle w:val="Heading3"/>
        <w:numPr>
          <w:ilvl w:val="0"/>
          <w:numId w:val="0"/>
        </w:numPr>
        <w:spacing w:before="0"/>
        <w:jc w:val="both"/>
      </w:pPr>
      <w:r w:rsidRPr="002C3BEA">
        <w:t>Theme Six: Sustainable KT Processes</w:t>
      </w:r>
    </w:p>
    <w:p w:rsidR="002177FD" w:rsidRPr="006F1CD5" w:rsidRDefault="002177FD" w:rsidP="006F1CD5">
      <w:pPr>
        <w:pStyle w:val="PagesBodytext"/>
        <w:spacing w:after="120" w:line="240" w:lineRule="auto"/>
        <w:jc w:val="both"/>
        <w:rPr>
          <w:i/>
          <w:color w:val="962D91" w:themeColor="background2"/>
          <w:sz w:val="22"/>
        </w:rPr>
      </w:pPr>
      <w:r w:rsidRPr="006F1CD5">
        <w:rPr>
          <w:i/>
          <w:color w:val="962D91" w:themeColor="background2"/>
          <w:sz w:val="22"/>
        </w:rPr>
        <w:t>Building a sustainable infrastructure for knowledge translation</w:t>
      </w:r>
    </w:p>
    <w:p w:rsidR="002177FD" w:rsidRPr="006F1CD5" w:rsidRDefault="002177FD" w:rsidP="006F1CD5">
      <w:pPr>
        <w:pStyle w:val="PagesBodytext"/>
        <w:spacing w:after="120" w:line="240" w:lineRule="auto"/>
        <w:jc w:val="both"/>
        <w:rPr>
          <w:sz w:val="22"/>
        </w:rPr>
      </w:pPr>
      <w:r w:rsidRPr="006F1CD5">
        <w:rPr>
          <w:sz w:val="22"/>
        </w:rPr>
        <w:t>This theme describes the organisational work that needs to be done to ensure that knowledge translation in Cochrane is adequately supported with appropriate infrastructure, processes and resources. This includes activities such as establishing governance and leadership for KT, creating systems to support KT, and providing training within Cochrane to ensure that we are collectively resourced to undertake KT work now and in the future. It also involves coordinating Cochrane’s KT work, monitoring and evaluating the KT Strategy, managing and sharing the knowledge generated for and about KT in Cochrane, and acting on the lessons learned.</w:t>
      </w:r>
    </w:p>
    <w:p w:rsidR="00333C67" w:rsidRPr="006F1CD5" w:rsidRDefault="00333C67" w:rsidP="00333C67">
      <w:pPr>
        <w:pStyle w:val="PagesSubheading"/>
        <w:numPr>
          <w:ilvl w:val="0"/>
          <w:numId w:val="0"/>
        </w:numPr>
        <w:spacing w:after="120" w:line="240" w:lineRule="auto"/>
        <w:rPr>
          <w:sz w:val="32"/>
          <w:szCs w:val="32"/>
        </w:rPr>
      </w:pPr>
      <w:bookmarkStart w:id="3" w:name="_Toc477503505"/>
      <w:r w:rsidRPr="006F1CD5">
        <w:rPr>
          <w:sz w:val="32"/>
          <w:szCs w:val="32"/>
        </w:rPr>
        <w:t>3.2</w:t>
      </w:r>
      <w:r w:rsidRPr="006F1CD5">
        <w:rPr>
          <w:sz w:val="32"/>
          <w:szCs w:val="32"/>
        </w:rPr>
        <w:tab/>
        <w:t>Audiences for Cochrane</w:t>
      </w:r>
      <w:r>
        <w:rPr>
          <w:sz w:val="32"/>
          <w:szCs w:val="32"/>
        </w:rPr>
        <w:t>’s</w:t>
      </w:r>
      <w:r w:rsidRPr="006F1CD5">
        <w:rPr>
          <w:sz w:val="32"/>
          <w:szCs w:val="32"/>
        </w:rPr>
        <w:t xml:space="preserve"> KT </w:t>
      </w:r>
    </w:p>
    <w:p w:rsidR="004E7773" w:rsidRPr="002C3BEA" w:rsidRDefault="004E7773" w:rsidP="006F1CD5">
      <w:pPr>
        <w:pStyle w:val="PagesSubheading"/>
        <w:numPr>
          <w:ilvl w:val="0"/>
          <w:numId w:val="0"/>
        </w:numPr>
        <w:spacing w:after="120" w:line="240" w:lineRule="auto"/>
      </w:pPr>
      <w:r w:rsidRPr="002C3BEA">
        <w:rPr>
          <w:noProof/>
          <w:lang w:eastAsia="en-GB"/>
        </w:rPr>
        <w:drawing>
          <wp:anchor distT="0" distB="0" distL="114300" distR="114300" simplePos="0" relativeHeight="251707392" behindDoc="0" locked="0" layoutInCell="1" allowOverlap="1" wp14:anchorId="0AF1EDB0" wp14:editId="7E3832DB">
            <wp:simplePos x="0" y="0"/>
            <wp:positionH relativeFrom="column">
              <wp:posOffset>2038350</wp:posOffset>
            </wp:positionH>
            <wp:positionV relativeFrom="paragraph">
              <wp:posOffset>163830</wp:posOffset>
            </wp:positionV>
            <wp:extent cx="4520565" cy="27425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0565" cy="2742565"/>
                    </a:xfrm>
                    <a:prstGeom prst="rect">
                      <a:avLst/>
                    </a:prstGeom>
                  </pic:spPr>
                </pic:pic>
              </a:graphicData>
            </a:graphic>
            <wp14:sizeRelH relativeFrom="margin">
              <wp14:pctWidth>0</wp14:pctWidth>
            </wp14:sizeRelH>
            <wp14:sizeRelV relativeFrom="margin">
              <wp14:pctHeight>0</wp14:pctHeight>
            </wp14:sizeRelV>
          </wp:anchor>
        </w:drawing>
      </w:r>
    </w:p>
    <w:bookmarkEnd w:id="3"/>
    <w:p w:rsidR="004E7773" w:rsidRPr="006F1CD5" w:rsidRDefault="004E7773" w:rsidP="006F1CD5">
      <w:pPr>
        <w:pStyle w:val="PagesBodytext"/>
        <w:spacing w:after="120" w:line="240" w:lineRule="auto"/>
        <w:rPr>
          <w:sz w:val="22"/>
        </w:rPr>
      </w:pPr>
    </w:p>
    <w:p w:rsidR="002177FD" w:rsidRPr="006F1CD5" w:rsidRDefault="002177FD" w:rsidP="006F1CD5">
      <w:pPr>
        <w:pStyle w:val="PagesBodytext"/>
        <w:spacing w:after="120" w:line="240" w:lineRule="auto"/>
        <w:rPr>
          <w:sz w:val="22"/>
        </w:rPr>
      </w:pPr>
      <w:r w:rsidRPr="006F1CD5">
        <w:rPr>
          <w:sz w:val="22"/>
        </w:rPr>
        <w:t xml:space="preserve">We have framed the key audiences that Cochrane needs to reach as ultimate end users of Cochrane evidence.  In many cases, we will access our audiences through intermediaries such as journalists or guideline developers. </w:t>
      </w:r>
    </w:p>
    <w:p w:rsidR="002177FD" w:rsidRDefault="002177FD" w:rsidP="002177FD">
      <w:pPr>
        <w:pStyle w:val="PagesBodytext"/>
        <w:spacing w:after="120"/>
      </w:pPr>
    </w:p>
    <w:p w:rsidR="004E7773" w:rsidRDefault="004E7773" w:rsidP="002177FD">
      <w:pPr>
        <w:pStyle w:val="PagesBodytext"/>
        <w:spacing w:after="120"/>
      </w:pPr>
    </w:p>
    <w:p w:rsidR="004E7773" w:rsidRDefault="004E7773" w:rsidP="002177FD">
      <w:pPr>
        <w:pStyle w:val="PagesBodytext"/>
        <w:spacing w:after="120"/>
      </w:pPr>
    </w:p>
    <w:p w:rsidR="004E7773" w:rsidRDefault="004E7773" w:rsidP="006F1CD5">
      <w:pPr>
        <w:pStyle w:val="PagesBodytext"/>
        <w:spacing w:after="0" w:line="120" w:lineRule="auto"/>
      </w:pPr>
    </w:p>
    <w:p w:rsidR="009046AD" w:rsidRPr="004E7773" w:rsidRDefault="009046AD" w:rsidP="004E7773">
      <w:pPr>
        <w:spacing w:after="200" w:line="276" w:lineRule="auto"/>
        <w:jc w:val="right"/>
        <w:rPr>
          <w:rFonts w:asciiTheme="majorHAnsi" w:hAnsiTheme="majorHAnsi"/>
          <w:color w:val="962D91" w:themeColor="background2"/>
          <w:spacing w:val="-6"/>
          <w:sz w:val="48"/>
          <w:szCs w:val="48"/>
        </w:rPr>
      </w:pPr>
      <w:bookmarkStart w:id="4" w:name="_Toc476132573"/>
      <w:r w:rsidRPr="004E7773">
        <w:rPr>
          <w:rFonts w:asciiTheme="majorHAnsi" w:hAnsiTheme="majorHAnsi"/>
          <w:i/>
          <w:color w:val="962D91" w:themeColor="background2"/>
        </w:rPr>
        <w:t xml:space="preserve">Audiences identified in the Cochrane KT Strategy </w:t>
      </w:r>
    </w:p>
    <w:p w:rsidR="00333C67" w:rsidRDefault="00333C67" w:rsidP="006F1CD5">
      <w:pPr>
        <w:spacing w:line="120" w:lineRule="auto"/>
      </w:pPr>
    </w:p>
    <w:p w:rsidR="0081105A" w:rsidRDefault="00BF3CA2" w:rsidP="00EB27FD">
      <w:pPr>
        <w:pStyle w:val="Heading1"/>
        <w:ind w:right="-18"/>
      </w:pPr>
      <w:r>
        <w:tab/>
      </w:r>
      <w:r w:rsidR="00987227">
        <w:t>Cochrane structures to deliver KT</w:t>
      </w:r>
      <w:bookmarkEnd w:id="4"/>
    </w:p>
    <w:p w:rsidR="00987227" w:rsidRDefault="00987227" w:rsidP="00333C67">
      <w:pPr>
        <w:pStyle w:val="BodyText"/>
      </w:pPr>
      <w:r>
        <w:t xml:space="preserve">To be a KT-centred organisation we need to consider the different dimensions of </w:t>
      </w:r>
      <w:r w:rsidR="00E21964">
        <w:t>knowledge translation</w:t>
      </w:r>
      <w:r w:rsidR="007C72D4">
        <w:t>,</w:t>
      </w:r>
      <w:r w:rsidR="00E66321">
        <w:t xml:space="preserve"> </w:t>
      </w:r>
      <w:r>
        <w:t xml:space="preserve">to understand the roles of </w:t>
      </w:r>
      <w:r w:rsidR="00E21964">
        <w:t xml:space="preserve">Cochrane </w:t>
      </w:r>
      <w:r>
        <w:t xml:space="preserve">Groups in delivering the </w:t>
      </w:r>
      <w:r w:rsidR="00985B7B">
        <w:t>KT Strategy</w:t>
      </w:r>
      <w:r w:rsidR="005B3822">
        <w:t xml:space="preserve"> and ensure that it becomes</w:t>
      </w:r>
      <w:r>
        <w:t xml:space="preserve"> embedded in everything we do. </w:t>
      </w:r>
    </w:p>
    <w:p w:rsidR="00E31A49" w:rsidRDefault="00B93C9A" w:rsidP="00572A3A">
      <w:pPr>
        <w:pStyle w:val="BodyText"/>
      </w:pPr>
      <w:r>
        <w:t xml:space="preserve">Knowledge translation is </w:t>
      </w:r>
      <w:r w:rsidR="00656595">
        <w:t>context-</w:t>
      </w:r>
      <w:r>
        <w:t>specific</w:t>
      </w:r>
      <w:r w:rsidR="00E31A49">
        <w:t xml:space="preserve">. </w:t>
      </w:r>
      <w:r w:rsidR="00B53CBD">
        <w:t xml:space="preserve">That context may be geographic, </w:t>
      </w:r>
      <w:r w:rsidR="00C506FD">
        <w:t>topic-based</w:t>
      </w:r>
      <w:r w:rsidR="00B53CBD">
        <w:t xml:space="preserve"> or specific to a</w:t>
      </w:r>
      <w:r w:rsidR="007C72D4">
        <w:t>n</w:t>
      </w:r>
      <w:r w:rsidR="00B53CBD">
        <w:t xml:space="preserve"> audience group. It is important that we consider </w:t>
      </w:r>
      <w:r w:rsidR="007C72D4">
        <w:t>these</w:t>
      </w:r>
      <w:r w:rsidR="00B53CBD">
        <w:t xml:space="preserve"> dimensions when thinking about a model to deliver the </w:t>
      </w:r>
      <w:r w:rsidR="00985B7B">
        <w:t>KT Strategy</w:t>
      </w:r>
      <w:r w:rsidR="00B53CBD">
        <w:t xml:space="preserve"> in Cochrane</w:t>
      </w:r>
      <w:r w:rsidR="000A44DA">
        <w:t>.</w:t>
      </w:r>
    </w:p>
    <w:p w:rsidR="005F2A93" w:rsidRDefault="005F2A93" w:rsidP="008216F0">
      <w:pPr>
        <w:pStyle w:val="PagesSubheading"/>
        <w:numPr>
          <w:ilvl w:val="0"/>
          <w:numId w:val="0"/>
        </w:numPr>
      </w:pPr>
      <w:r>
        <w:t>Geographic focus</w:t>
      </w:r>
    </w:p>
    <w:p w:rsidR="000A44DA" w:rsidRDefault="000A44DA" w:rsidP="00B93C9A">
      <w:pPr>
        <w:pStyle w:val="BodyText"/>
      </w:pPr>
      <w:r>
        <w:t>As part of the Centres</w:t>
      </w:r>
      <w:r w:rsidR="005B3822">
        <w:t>’</w:t>
      </w:r>
      <w:r>
        <w:t xml:space="preserve"> structure and function review we have already established that knowledge translation is a core part of a Centre’s work</w:t>
      </w:r>
      <w:r w:rsidR="00F3629C">
        <w:t>. W</w:t>
      </w:r>
      <w:r>
        <w:t xml:space="preserve">e have approved changes that allow Centres to </w:t>
      </w:r>
      <w:r w:rsidR="00F3629C">
        <w:t>create</w:t>
      </w:r>
      <w:r>
        <w:t xml:space="preserve"> networks of groups within their country (either Affiliates or Associate Centres)</w:t>
      </w:r>
      <w:r w:rsidR="006B5B7D">
        <w:t xml:space="preserve"> that can do KT in a more flexible way</w:t>
      </w:r>
      <w:r w:rsidR="00F3629C">
        <w:t>; and encouraged Centres to introduce new ways of working (such as setting up ‘consumer champions’) that we</w:t>
      </w:r>
      <w:r w:rsidR="002A55E4">
        <w:t xml:space="preserve"> hope will lead to increased KT activity at the geographic level. </w:t>
      </w:r>
    </w:p>
    <w:p w:rsidR="005F2A93" w:rsidRDefault="00C506FD" w:rsidP="008216F0">
      <w:pPr>
        <w:pStyle w:val="PagesSubheading"/>
        <w:numPr>
          <w:ilvl w:val="0"/>
          <w:numId w:val="0"/>
        </w:numPr>
      </w:pPr>
      <w:r>
        <w:t>Topic-based</w:t>
      </w:r>
      <w:r w:rsidR="005F2A93">
        <w:t xml:space="preserve"> focus</w:t>
      </w:r>
    </w:p>
    <w:p w:rsidR="000A44DA" w:rsidRDefault="00C506FD" w:rsidP="00B93C9A">
      <w:pPr>
        <w:pStyle w:val="BodyText"/>
      </w:pPr>
      <w:r>
        <w:t>T</w:t>
      </w:r>
      <w:r w:rsidR="00204F05">
        <w:t>opic</w:t>
      </w:r>
      <w:r w:rsidR="00F3629C">
        <w:t>-</w:t>
      </w:r>
      <w:r w:rsidR="00204F05">
        <w:t xml:space="preserve">based KT </w:t>
      </w:r>
      <w:r w:rsidR="00510F05">
        <w:t xml:space="preserve">naturally falls within the </w:t>
      </w:r>
      <w:r w:rsidR="00F3629C">
        <w:t xml:space="preserve">work of </w:t>
      </w:r>
      <w:r w:rsidR="00510F05">
        <w:t>Field</w:t>
      </w:r>
      <w:r w:rsidR="00F3629C">
        <w:t>s</w:t>
      </w:r>
      <w:r w:rsidR="00510F05">
        <w:t xml:space="preserve"> and CRG</w:t>
      </w:r>
      <w:r w:rsidR="00F3629C">
        <w:t>s, linking networks of professionals and experts in a</w:t>
      </w:r>
      <w:r w:rsidR="00576F24">
        <w:t>n</w:t>
      </w:r>
      <w:r w:rsidR="00F3629C">
        <w:t xml:space="preserve"> area together to promote the use and impact of Cochrane evidence in global policy and practice. H</w:t>
      </w:r>
      <w:r w:rsidR="00E81E2B">
        <w:t xml:space="preserve">owever, it is essential that </w:t>
      </w:r>
      <w:r w:rsidR="00F3629C">
        <w:t>this work</w:t>
      </w:r>
      <w:r w:rsidR="00E81E2B">
        <w:t xml:space="preserve"> complement</w:t>
      </w:r>
      <w:r w:rsidR="00F3629C">
        <w:t>s</w:t>
      </w:r>
      <w:r w:rsidR="00E81E2B">
        <w:t xml:space="preserve"> the geographic approach, as ideally we will leverage our </w:t>
      </w:r>
      <w:r w:rsidR="00F3629C">
        <w:t>large country and regional</w:t>
      </w:r>
      <w:r w:rsidR="00E81E2B">
        <w:t xml:space="preserve"> network to increase </w:t>
      </w:r>
      <w:r w:rsidR="003709ED">
        <w:t xml:space="preserve">the </w:t>
      </w:r>
      <w:r>
        <w:t>reach of top</w:t>
      </w:r>
      <w:r w:rsidR="00E81E2B">
        <w:t>ic</w:t>
      </w:r>
      <w:r w:rsidR="003709ED">
        <w:t>-</w:t>
      </w:r>
      <w:r w:rsidR="00E81E2B">
        <w:t xml:space="preserve">based KT </w:t>
      </w:r>
      <w:r w:rsidR="007F0052">
        <w:t>activities</w:t>
      </w:r>
      <w:r w:rsidR="00E81E2B">
        <w:t xml:space="preserve">. </w:t>
      </w:r>
    </w:p>
    <w:p w:rsidR="005F2A93" w:rsidRDefault="005F2A93" w:rsidP="008216F0">
      <w:pPr>
        <w:pStyle w:val="PagesSubheading"/>
        <w:numPr>
          <w:ilvl w:val="0"/>
          <w:numId w:val="0"/>
        </w:numPr>
      </w:pPr>
      <w:r>
        <w:t>Audience focus</w:t>
      </w:r>
    </w:p>
    <w:p w:rsidR="000A44DA" w:rsidRDefault="004C2086" w:rsidP="009478A9">
      <w:pPr>
        <w:pStyle w:val="BodyText"/>
        <w:spacing w:after="240"/>
      </w:pPr>
      <w:r>
        <w:t xml:space="preserve">Any Group focussed on undertaking KT in Cochrane will be focussed on a specific </w:t>
      </w:r>
      <w:r w:rsidR="00C506FD">
        <w:t>topic</w:t>
      </w:r>
      <w:r>
        <w:t xml:space="preserve"> or geographic area as above, but that does not mean that they are obliged to focus on all four KT audiences. </w:t>
      </w:r>
      <w:r w:rsidR="009478A9">
        <w:t>A</w:t>
      </w:r>
      <w:r>
        <w:t xml:space="preserve">ny KT-focussed Group should consider which audiences it </w:t>
      </w:r>
      <w:r w:rsidR="00A313BC">
        <w:t>will cover</w:t>
      </w:r>
      <w:r>
        <w:t xml:space="preserve">. </w:t>
      </w:r>
      <w:r w:rsidR="00A313BC">
        <w:t>It is possible that some large, well-resourced groups will be able to cover all four KT audiences</w:t>
      </w:r>
      <w:r w:rsidR="00E21964">
        <w:t>;</w:t>
      </w:r>
      <w:r w:rsidR="00A313BC">
        <w:t xml:space="preserve"> but in other </w:t>
      </w:r>
      <w:r w:rsidR="007C72D4">
        <w:t>instances,</w:t>
      </w:r>
      <w:r w:rsidR="00A313BC">
        <w:t xml:space="preserve"> multiple Groups may collaborate</w:t>
      </w:r>
      <w:r w:rsidR="00E21964">
        <w:t>,</w:t>
      </w:r>
      <w:r w:rsidR="00A313BC">
        <w:t xml:space="preserve"> each focussed on a different audience</w:t>
      </w:r>
      <w:r w:rsidR="00E21964">
        <w:t>:</w:t>
      </w:r>
      <w:r w:rsidR="00A313BC">
        <w:t xml:space="preserve"> </w:t>
      </w:r>
      <w:r>
        <w:t>e.g.</w:t>
      </w:r>
      <w:r w:rsidR="00A313BC">
        <w:t>,</w:t>
      </w:r>
      <w:r>
        <w:t xml:space="preserve"> a country might have four different KT-focussed </w:t>
      </w:r>
      <w:r w:rsidR="00A313BC">
        <w:t>Associate Centres,</w:t>
      </w:r>
      <w:r>
        <w:t xml:space="preserve"> </w:t>
      </w:r>
      <w:r w:rsidR="00A313BC">
        <w:t>each</w:t>
      </w:r>
      <w:r>
        <w:t xml:space="preserve"> dedicated on one of the four KT audiences</w:t>
      </w:r>
      <w:r w:rsidR="00E81E2B">
        <w:t xml:space="preserve">. </w:t>
      </w:r>
    </w:p>
    <w:p w:rsidR="000573BA" w:rsidRDefault="00DF5FC1" w:rsidP="006F1CD5">
      <w:pPr>
        <w:pStyle w:val="Headings2"/>
      </w:pPr>
      <w:r>
        <w:t xml:space="preserve">KT </w:t>
      </w:r>
      <w:r w:rsidR="000573BA">
        <w:t>Functions</w:t>
      </w:r>
    </w:p>
    <w:p w:rsidR="00304920" w:rsidRDefault="00102258" w:rsidP="00102258">
      <w:pPr>
        <w:pStyle w:val="BodyText"/>
      </w:pPr>
      <w:r>
        <w:t>The</w:t>
      </w:r>
      <w:r w:rsidR="00304920">
        <w:t xml:space="preserve"> </w:t>
      </w:r>
      <w:r w:rsidR="003709ED">
        <w:t xml:space="preserve">proposed </w:t>
      </w:r>
      <w:r w:rsidR="00304920">
        <w:t>KT</w:t>
      </w:r>
      <w:r>
        <w:t xml:space="preserve"> functions of </w:t>
      </w:r>
      <w:r w:rsidR="003709ED">
        <w:t>different Cochrane G</w:t>
      </w:r>
      <w:r>
        <w:t xml:space="preserve">roups </w:t>
      </w:r>
      <w:r w:rsidR="00304920">
        <w:t xml:space="preserve">will be set out in the </w:t>
      </w:r>
      <w:r w:rsidR="00985B7B">
        <w:t>KT Strategy</w:t>
      </w:r>
      <w:r w:rsidR="00304920">
        <w:t xml:space="preserve">, </w:t>
      </w:r>
      <w:r w:rsidR="009478A9">
        <w:t>and</w:t>
      </w:r>
      <w:r w:rsidR="00304920">
        <w:t xml:space="preserve"> will follow the </w:t>
      </w:r>
      <w:r w:rsidR="00A02273">
        <w:t xml:space="preserve">six </w:t>
      </w:r>
      <w:r w:rsidR="00304920">
        <w:t>KT themes established</w:t>
      </w:r>
      <w:r w:rsidR="00A02273">
        <w:t xml:space="preserve"> in the Strategy</w:t>
      </w:r>
      <w:r w:rsidR="00304920">
        <w:t xml:space="preserve">. </w:t>
      </w:r>
      <w:r w:rsidR="00A02273">
        <w:t>T</w:t>
      </w:r>
      <w:r w:rsidR="00B4170B">
        <w:t>he</w:t>
      </w:r>
      <w:r w:rsidR="00345601">
        <w:t xml:space="preserve"> priorities </w:t>
      </w:r>
      <w:r w:rsidR="00A02273">
        <w:t xml:space="preserve">between and </w:t>
      </w:r>
      <w:r w:rsidR="00345601">
        <w:t xml:space="preserve">within these </w:t>
      </w:r>
      <w:r w:rsidR="00A02273">
        <w:t xml:space="preserve">themes </w:t>
      </w:r>
      <w:r w:rsidR="00345601">
        <w:t xml:space="preserve">may change periodically </w:t>
      </w:r>
      <w:r w:rsidR="00A02273">
        <w:t>as</w:t>
      </w:r>
      <w:r w:rsidR="00345601">
        <w:t xml:space="preserve"> the organisation’s KT priorities</w:t>
      </w:r>
      <w:r w:rsidR="00A02273">
        <w:t xml:space="preserve"> change</w:t>
      </w:r>
      <w:r w:rsidR="00345601">
        <w:t xml:space="preserve">. </w:t>
      </w:r>
      <w:r w:rsidR="001F719F">
        <w:t>In addition</w:t>
      </w:r>
      <w:r w:rsidR="00BD4DBB">
        <w:t>,</w:t>
      </w:r>
      <w:r w:rsidR="001F719F">
        <w:t xml:space="preserve"> each KT</w:t>
      </w:r>
      <w:r w:rsidR="00A313BC">
        <w:t>-focussed</w:t>
      </w:r>
      <w:r w:rsidR="001F719F">
        <w:t xml:space="preserve"> </w:t>
      </w:r>
      <w:r w:rsidR="00A02273">
        <w:t>Cochrane G</w:t>
      </w:r>
      <w:r w:rsidR="001F719F">
        <w:t xml:space="preserve">roup </w:t>
      </w:r>
      <w:r w:rsidR="00A02273">
        <w:t xml:space="preserve">will </w:t>
      </w:r>
      <w:r w:rsidR="001F719F">
        <w:t xml:space="preserve">have </w:t>
      </w:r>
      <w:r w:rsidR="00A02273">
        <w:t xml:space="preserve">the </w:t>
      </w:r>
      <w:r w:rsidR="001F719F">
        <w:t xml:space="preserve">latitude to decide on its own priorities </w:t>
      </w:r>
      <w:r w:rsidR="00A02273">
        <w:t xml:space="preserve">which are most </w:t>
      </w:r>
      <w:r w:rsidR="00D4227E">
        <w:t>appropriate</w:t>
      </w:r>
      <w:r w:rsidR="001F719F">
        <w:t xml:space="preserve"> </w:t>
      </w:r>
      <w:r w:rsidR="00D4227E">
        <w:t xml:space="preserve">to </w:t>
      </w:r>
      <w:r w:rsidR="001F719F">
        <w:t xml:space="preserve">its context. </w:t>
      </w:r>
    </w:p>
    <w:tbl>
      <w:tblPr>
        <w:tblStyle w:val="ListTable6Colorful-Accent11"/>
        <w:tblW w:w="0" w:type="auto"/>
        <w:tblLook w:val="0480" w:firstRow="0" w:lastRow="0" w:firstColumn="1" w:lastColumn="0" w:noHBand="0" w:noVBand="1"/>
      </w:tblPr>
      <w:tblGrid>
        <w:gridCol w:w="2380"/>
        <w:gridCol w:w="7258"/>
      </w:tblGrid>
      <w:tr w:rsidR="002055D6" w:rsidTr="0072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55D6" w:rsidRDefault="001E6AFC" w:rsidP="00723EAA">
            <w:pPr>
              <w:pStyle w:val="BodyText"/>
              <w:jc w:val="left"/>
            </w:pPr>
            <w:r>
              <w:t>Prioritisation and Co-production</w:t>
            </w:r>
          </w:p>
        </w:tc>
        <w:tc>
          <w:tcPr>
            <w:tcW w:w="0" w:type="auto"/>
            <w:vAlign w:val="center"/>
          </w:tcPr>
          <w:p w:rsidR="002055D6" w:rsidRDefault="00AC5557" w:rsidP="006F1CD5">
            <w:pPr>
              <w:pStyle w:val="BodyText"/>
              <w:cnfStyle w:val="000000100000" w:firstRow="0" w:lastRow="0" w:firstColumn="0" w:lastColumn="0" w:oddVBand="0" w:evenVBand="0" w:oddHBand="1" w:evenHBand="0" w:firstRowFirstColumn="0" w:firstRowLastColumn="0" w:lastRowFirstColumn="0" w:lastRowLastColumn="0"/>
            </w:pPr>
            <w:r>
              <w:t xml:space="preserve">Review production remains primarily a CRG function, but with the push for greater prioritisation and more co-production the CRGs will need support from Fields and Centres to connect with </w:t>
            </w:r>
            <w:r w:rsidR="007F0052">
              <w:t>relevant</w:t>
            </w:r>
            <w:r>
              <w:t xml:space="preserve"> stakeholders. </w:t>
            </w:r>
          </w:p>
        </w:tc>
      </w:tr>
      <w:tr w:rsidR="002055D6" w:rsidTr="00723EAA">
        <w:tc>
          <w:tcPr>
            <w:cnfStyle w:val="001000000000" w:firstRow="0" w:lastRow="0" w:firstColumn="1" w:lastColumn="0" w:oddVBand="0" w:evenVBand="0" w:oddHBand="0" w:evenHBand="0" w:firstRowFirstColumn="0" w:firstRowLastColumn="0" w:lastRowFirstColumn="0" w:lastRowLastColumn="0"/>
            <w:tcW w:w="0" w:type="auto"/>
            <w:vAlign w:val="center"/>
          </w:tcPr>
          <w:p w:rsidR="002055D6" w:rsidRDefault="001E6AFC" w:rsidP="00723EAA">
            <w:pPr>
              <w:pStyle w:val="BodyText"/>
              <w:jc w:val="left"/>
            </w:pPr>
            <w:r>
              <w:t>Packaging, push and support to implementation</w:t>
            </w:r>
          </w:p>
        </w:tc>
        <w:tc>
          <w:tcPr>
            <w:tcW w:w="0" w:type="auto"/>
            <w:vAlign w:val="center"/>
          </w:tcPr>
          <w:p w:rsidR="002055D6" w:rsidRDefault="00AA1CDC" w:rsidP="00576F24">
            <w:pPr>
              <w:pStyle w:val="BodyText"/>
              <w:cnfStyle w:val="000000000000" w:firstRow="0" w:lastRow="0" w:firstColumn="0" w:lastColumn="0" w:oddVBand="0" w:evenVBand="0" w:oddHBand="0" w:evenHBand="0" w:firstRowFirstColumn="0" w:firstRowLastColumn="0" w:lastRowFirstColumn="0" w:lastRowLastColumn="0"/>
            </w:pPr>
            <w:r>
              <w:t>This has traditionally been a key area of activity for Fields. Packaging reviews for stakeholder groups, summarising reviews, etc.</w:t>
            </w:r>
            <w:r w:rsidR="00576F24">
              <w:t>,</w:t>
            </w:r>
            <w:r>
              <w:t xml:space="preserve"> will continue to be important. Through the </w:t>
            </w:r>
            <w:r w:rsidR="00985B7B">
              <w:t>KT Strategy</w:t>
            </w:r>
            <w:r>
              <w:t xml:space="preserve"> we hope to be able to better coordinate and integrate such activities. </w:t>
            </w:r>
          </w:p>
        </w:tc>
      </w:tr>
      <w:tr w:rsidR="002055D6" w:rsidTr="0072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55D6" w:rsidRDefault="001E6AFC" w:rsidP="00723EAA">
            <w:pPr>
              <w:pStyle w:val="BodyText"/>
              <w:jc w:val="left"/>
            </w:pPr>
            <w:r>
              <w:t>Facilitating Pull</w:t>
            </w:r>
          </w:p>
        </w:tc>
        <w:tc>
          <w:tcPr>
            <w:tcW w:w="0" w:type="auto"/>
            <w:vAlign w:val="center"/>
          </w:tcPr>
          <w:p w:rsidR="002055D6" w:rsidRDefault="00AA1CDC" w:rsidP="006F1CD5">
            <w:pPr>
              <w:pStyle w:val="BodyText"/>
              <w:cnfStyle w:val="000000100000" w:firstRow="0" w:lastRow="0" w:firstColumn="0" w:lastColumn="0" w:oddVBand="0" w:evenVBand="0" w:oddHBand="1" w:evenHBand="0" w:firstRowFirstColumn="0" w:firstRowLastColumn="0" w:lastRowFirstColumn="0" w:lastRowLastColumn="0"/>
            </w:pPr>
            <w:r>
              <w:t xml:space="preserve">This is about enabling our users to access the evidence that is available. This </w:t>
            </w:r>
            <w:r w:rsidR="00A313BC">
              <w:t>includes educational</w:t>
            </w:r>
            <w:r>
              <w:t xml:space="preserve"> initiatives to increase usage. </w:t>
            </w:r>
          </w:p>
        </w:tc>
      </w:tr>
      <w:tr w:rsidR="002055D6" w:rsidTr="00723EAA">
        <w:tc>
          <w:tcPr>
            <w:cnfStyle w:val="001000000000" w:firstRow="0" w:lastRow="0" w:firstColumn="1" w:lastColumn="0" w:oddVBand="0" w:evenVBand="0" w:oddHBand="0" w:evenHBand="0" w:firstRowFirstColumn="0" w:firstRowLastColumn="0" w:lastRowFirstColumn="0" w:lastRowLastColumn="0"/>
            <w:tcW w:w="0" w:type="auto"/>
            <w:vAlign w:val="center"/>
          </w:tcPr>
          <w:p w:rsidR="002055D6" w:rsidRDefault="001E6AFC" w:rsidP="00723EAA">
            <w:pPr>
              <w:pStyle w:val="BodyText"/>
              <w:jc w:val="left"/>
            </w:pPr>
            <w:r>
              <w:t>Exchange</w:t>
            </w:r>
          </w:p>
        </w:tc>
        <w:tc>
          <w:tcPr>
            <w:tcW w:w="0" w:type="auto"/>
            <w:vAlign w:val="center"/>
          </w:tcPr>
          <w:p w:rsidR="002055D6" w:rsidRDefault="00AA1CDC" w:rsidP="006F1CD5">
            <w:pPr>
              <w:pStyle w:val="BodyText"/>
              <w:cnfStyle w:val="000000000000" w:firstRow="0" w:lastRow="0" w:firstColumn="0" w:lastColumn="0" w:oddVBand="0" w:evenVBand="0" w:oddHBand="0" w:evenHBand="0" w:firstRowFirstColumn="0" w:firstRowLastColumn="0" w:lastRowFirstColumn="0" w:lastRowLastColumn="0"/>
            </w:pPr>
            <w:r>
              <w:t>Fields working closely with stakeholders seek to meet their needs and this is exactly what exchange is about – providing for the needs of our stakeholders and being responsive to their needs. It starts with partnership building, but can be considered the next stage in developing the partnership into a relationship that meets the needs of the stakeholder</w:t>
            </w:r>
            <w:r w:rsidR="009046AD">
              <w:t xml:space="preserve"> to make decisions based on our evidence</w:t>
            </w:r>
            <w:r>
              <w:t>.</w:t>
            </w:r>
          </w:p>
        </w:tc>
      </w:tr>
      <w:tr w:rsidR="002055D6" w:rsidTr="0072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055D6" w:rsidRDefault="001E6AFC" w:rsidP="00723EAA">
            <w:pPr>
              <w:pStyle w:val="BodyText"/>
              <w:jc w:val="left"/>
            </w:pPr>
            <w:r>
              <w:t>Improving Climate</w:t>
            </w:r>
          </w:p>
        </w:tc>
        <w:tc>
          <w:tcPr>
            <w:tcW w:w="0" w:type="auto"/>
            <w:vAlign w:val="center"/>
          </w:tcPr>
          <w:p w:rsidR="002055D6" w:rsidRDefault="00AA1CDC" w:rsidP="006F1CD5">
            <w:pPr>
              <w:pStyle w:val="BodyText"/>
              <w:cnfStyle w:val="000000100000" w:firstRow="0" w:lastRow="0" w:firstColumn="0" w:lastColumn="0" w:oddVBand="0" w:evenVBand="0" w:oddHBand="1" w:evenHBand="0" w:firstRowFirstColumn="0" w:firstRowLastColumn="0" w:lastRowFirstColumn="0" w:lastRowLastColumn="0"/>
            </w:pPr>
            <w:r>
              <w:t>Fields have always had an advocacy role, so this is not new. This covers activities aimed at developing the demand for evidence by educating people about EBM and Cochrane and advocating for the use of evidence in decision-making.</w:t>
            </w:r>
          </w:p>
        </w:tc>
      </w:tr>
      <w:tr w:rsidR="002055D6" w:rsidTr="00723EAA">
        <w:tc>
          <w:tcPr>
            <w:cnfStyle w:val="001000000000" w:firstRow="0" w:lastRow="0" w:firstColumn="1" w:lastColumn="0" w:oddVBand="0" w:evenVBand="0" w:oddHBand="0" w:evenHBand="0" w:firstRowFirstColumn="0" w:firstRowLastColumn="0" w:lastRowFirstColumn="0" w:lastRowLastColumn="0"/>
            <w:tcW w:w="0" w:type="auto"/>
            <w:vAlign w:val="center"/>
          </w:tcPr>
          <w:p w:rsidR="002055D6" w:rsidRDefault="001E6AFC" w:rsidP="00723EAA">
            <w:pPr>
              <w:pStyle w:val="BodyText"/>
              <w:jc w:val="left"/>
            </w:pPr>
            <w:r>
              <w:t>Sustainable KT Processes</w:t>
            </w:r>
          </w:p>
        </w:tc>
        <w:tc>
          <w:tcPr>
            <w:tcW w:w="0" w:type="auto"/>
            <w:vAlign w:val="center"/>
          </w:tcPr>
          <w:p w:rsidR="002055D6" w:rsidRDefault="00AA1CDC" w:rsidP="006F1CD5">
            <w:pPr>
              <w:pStyle w:val="BodyText"/>
              <w:cnfStyle w:val="000000000000" w:firstRow="0" w:lastRow="0" w:firstColumn="0" w:lastColumn="0" w:oddVBand="0" w:evenVBand="0" w:oddHBand="0" w:evenHBand="0" w:firstRowFirstColumn="0" w:firstRowLastColumn="0" w:lastRowFirstColumn="0" w:lastRowLastColumn="0"/>
            </w:pPr>
            <w:r>
              <w:t>The central organisation needs to take a lead</w:t>
            </w:r>
            <w:r w:rsidR="00C506FD">
              <w:t>ing role</w:t>
            </w:r>
            <w:r>
              <w:t xml:space="preserve"> in supporting</w:t>
            </w:r>
            <w:r w:rsidR="00C506FD">
              <w:t xml:space="preserve"> and coordinating</w:t>
            </w:r>
            <w:r>
              <w:t xml:space="preserve"> KT processes and providing a robust infrastructure, but this is also about building capacity and capability at Group level. We need to see the number of people skilled in KT growing at </w:t>
            </w:r>
            <w:r w:rsidR="004F0F67">
              <w:t xml:space="preserve">a </w:t>
            </w:r>
            <w:r>
              <w:t>Group level, so that we have both the skills required and the</w:t>
            </w:r>
            <w:r w:rsidR="00620E6A">
              <w:t xml:space="preserve"> capacity to undertake the work. </w:t>
            </w:r>
          </w:p>
        </w:tc>
      </w:tr>
    </w:tbl>
    <w:p w:rsidR="004E7EB8" w:rsidRDefault="004E7EB8" w:rsidP="00102258">
      <w:pPr>
        <w:pStyle w:val="BodyText"/>
      </w:pPr>
    </w:p>
    <w:p w:rsidR="008456D9" w:rsidRDefault="00BF3CA2" w:rsidP="00D4227E">
      <w:pPr>
        <w:pStyle w:val="Heading1"/>
      </w:pPr>
      <w:bookmarkStart w:id="5" w:name="_Toc476132574"/>
      <w:r>
        <w:tab/>
      </w:r>
      <w:r w:rsidR="001B0C74">
        <w:t>The role of</w:t>
      </w:r>
      <w:r w:rsidR="008456D9">
        <w:t xml:space="preserve"> Fields </w:t>
      </w:r>
      <w:r w:rsidR="001B0C74">
        <w:t>in this</w:t>
      </w:r>
      <w:r w:rsidR="0081105A">
        <w:t xml:space="preserve"> </w:t>
      </w:r>
      <w:r w:rsidR="00D4227E">
        <w:t xml:space="preserve">KT </w:t>
      </w:r>
      <w:bookmarkEnd w:id="5"/>
      <w:r w:rsidR="00F220F6">
        <w:t>approach</w:t>
      </w:r>
    </w:p>
    <w:p w:rsidR="00AD6E33" w:rsidRDefault="00AD6E33" w:rsidP="00333C67">
      <w:pPr>
        <w:pStyle w:val="BodyText"/>
      </w:pPr>
      <w:r w:rsidRPr="00A02273">
        <w:t xml:space="preserve">What distinguishes the role of Fields </w:t>
      </w:r>
      <w:r w:rsidR="006360D5" w:rsidRPr="00A02273">
        <w:t>in this KT approach is that they are primarily focused on the needs of a</w:t>
      </w:r>
      <w:r w:rsidRPr="00A02273">
        <w:t xml:space="preserve"> stakeholder community or audience that they serve.</w:t>
      </w:r>
      <w:r w:rsidR="006360D5">
        <w:t xml:space="preserve"> </w:t>
      </w:r>
      <w:r w:rsidR="00A02273">
        <w:t>T</w:t>
      </w:r>
      <w:r w:rsidR="006360D5">
        <w:t>hey act as a bridge between the evidence produced by Cochrane and external stakeholders who need that evidence. CRGs may perform this role themselves with certain stakeholder groups linked to their topic area</w:t>
      </w:r>
      <w:r w:rsidR="00A02273">
        <w:t>;</w:t>
      </w:r>
      <w:r w:rsidR="006360D5">
        <w:t xml:space="preserve"> but the breadth of potential stakeholders </w:t>
      </w:r>
      <w:r w:rsidR="00A02273">
        <w:t xml:space="preserve">who could use Cochrane evidence </w:t>
      </w:r>
      <w:r w:rsidR="006360D5">
        <w:t xml:space="preserve">means that we need </w:t>
      </w:r>
      <w:r w:rsidR="00A02273">
        <w:t xml:space="preserve">Fields </w:t>
      </w:r>
      <w:r w:rsidR="006360D5">
        <w:t>to augment</w:t>
      </w:r>
      <w:r w:rsidR="00A02273">
        <w:t xml:space="preserve"> and expand</w:t>
      </w:r>
      <w:r w:rsidR="006360D5">
        <w:t xml:space="preserve"> this</w:t>
      </w:r>
      <w:r w:rsidR="00A02273">
        <w:t xml:space="preserve"> critically</w:t>
      </w:r>
      <w:r w:rsidR="006360D5">
        <w:t xml:space="preserve"> important role.</w:t>
      </w:r>
    </w:p>
    <w:p w:rsidR="00AD6E33" w:rsidRDefault="00AD6E33" w:rsidP="006F1CD5">
      <w:pPr>
        <w:pStyle w:val="BodyText"/>
      </w:pPr>
      <w:r w:rsidRPr="001138A9">
        <w:t>To be effective, Fields need absolute clarity about who their audience is</w:t>
      </w:r>
      <w:r w:rsidR="00A02273">
        <w:t>;</w:t>
      </w:r>
      <w:r>
        <w:t xml:space="preserve"> </w:t>
      </w:r>
      <w:r w:rsidR="00397122">
        <w:t xml:space="preserve">and set their scope accordingly in a way that is realistic, based on their available resources. </w:t>
      </w:r>
      <w:r w:rsidRPr="001138A9">
        <w:t>They should be a</w:t>
      </w:r>
      <w:r w:rsidR="00A02273">
        <w:t>n</w:t>
      </w:r>
      <w:r w:rsidRPr="001138A9">
        <w:t xml:space="preserve"> outward facing layer of Cochrane that make</w:t>
      </w:r>
      <w:r w:rsidR="00A02273">
        <w:t>s</w:t>
      </w:r>
      <w:r w:rsidRPr="001138A9">
        <w:t xml:space="preserve"> sense of Cochrane for others by re-organising or re-packaging content and undertaking knowledge translation so that Cochrane evidence meets </w:t>
      </w:r>
      <w:r w:rsidR="00A27BBE">
        <w:t xml:space="preserve">external </w:t>
      </w:r>
      <w:r w:rsidR="00397122">
        <w:t>users’</w:t>
      </w:r>
      <w:r w:rsidR="00397122" w:rsidRPr="001138A9">
        <w:t xml:space="preserve"> </w:t>
      </w:r>
      <w:r w:rsidRPr="001138A9">
        <w:t>needs</w:t>
      </w:r>
      <w:r w:rsidR="00397122">
        <w:t xml:space="preserve"> and they can</w:t>
      </w:r>
      <w:r w:rsidRPr="001138A9">
        <w:t xml:space="preserve"> easily access, engage and communicate with us. Th</w:t>
      </w:r>
      <w:r w:rsidR="00397122">
        <w:t>is engagement</w:t>
      </w:r>
      <w:r w:rsidRPr="001138A9">
        <w:t xml:space="preserve"> role is not just about pushing information out to stakeholders, it is bi-directional</w:t>
      </w:r>
      <w:r>
        <w:t>:</w:t>
      </w:r>
      <w:r w:rsidRPr="001138A9">
        <w:t xml:space="preserve"> we need to listen to and learn from our stakeholders and feed that learning and insight into Cochrane. </w:t>
      </w:r>
    </w:p>
    <w:p w:rsidR="004B128A" w:rsidRDefault="00397122" w:rsidP="006F1CD5">
      <w:pPr>
        <w:pStyle w:val="BodyText"/>
      </w:pPr>
      <w:r>
        <w:t xml:space="preserve">The focus of </w:t>
      </w:r>
      <w:r w:rsidR="004B128A">
        <w:t>Fields</w:t>
      </w:r>
      <w:r>
        <w:t>, therefore, is</w:t>
      </w:r>
      <w:r w:rsidR="004B128A">
        <w:t xml:space="preserve"> on the </w:t>
      </w:r>
      <w:r w:rsidR="009126EF">
        <w:t xml:space="preserve">evidence </w:t>
      </w:r>
      <w:r w:rsidR="004B128A">
        <w:t>needs of their stakeholders</w:t>
      </w:r>
      <w:r w:rsidR="003709ED">
        <w:t>,</w:t>
      </w:r>
      <w:r w:rsidR="004B128A">
        <w:t xml:space="preserve"> in contra</w:t>
      </w:r>
      <w:r w:rsidR="003709ED">
        <w:t>s</w:t>
      </w:r>
      <w:r w:rsidR="004B128A">
        <w:t xml:space="preserve">t to CRGs who will also be undertaking knowledge translation activities but doing so </w:t>
      </w:r>
      <w:r w:rsidR="003A1F15">
        <w:t>based</w:t>
      </w:r>
      <w:r w:rsidR="004B128A">
        <w:t xml:space="preserve"> on the </w:t>
      </w:r>
      <w:r w:rsidR="009126EF">
        <w:t>r</w:t>
      </w:r>
      <w:r w:rsidR="004B128A">
        <w:t xml:space="preserve">eviews they are producing. These two </w:t>
      </w:r>
      <w:r w:rsidR="0034036C">
        <w:t xml:space="preserve">approaches </w:t>
      </w:r>
      <w:r w:rsidR="004B128A">
        <w:t xml:space="preserve">are </w:t>
      </w:r>
      <w:r w:rsidR="0034036C">
        <w:t>complementary</w:t>
      </w:r>
      <w:r w:rsidR="004B128A">
        <w:t xml:space="preserve">, but there is a different </w:t>
      </w:r>
      <w:r w:rsidR="007F0052">
        <w:t>emphasis</w:t>
      </w:r>
      <w:r w:rsidR="004B128A">
        <w:t xml:space="preserve"> on what is the primary motivation and driver for the </w:t>
      </w:r>
      <w:r w:rsidR="0034036C">
        <w:t xml:space="preserve">respective Groups’ </w:t>
      </w:r>
      <w:r w:rsidR="004B128A">
        <w:t xml:space="preserve">work. </w:t>
      </w:r>
      <w:r w:rsidR="006360D5">
        <w:t xml:space="preserve">The KT work of Centres will be </w:t>
      </w:r>
      <w:r w:rsidR="007C72D4">
        <w:t>like</w:t>
      </w:r>
      <w:r w:rsidR="006360D5">
        <w:t xml:space="preserve"> that of Fields, but in their case the stakeholder audience will be geographically defined.</w:t>
      </w:r>
    </w:p>
    <w:p w:rsidR="004B128A" w:rsidRDefault="009478A9" w:rsidP="006F1CD5">
      <w:pPr>
        <w:pStyle w:val="BodyText"/>
      </w:pPr>
      <w:r>
        <w:t>Because</w:t>
      </w:r>
      <w:r w:rsidR="001561F1">
        <w:t xml:space="preserve"> of</w:t>
      </w:r>
      <w:r w:rsidR="003A1F15">
        <w:t xml:space="preserve"> this different perspective</w:t>
      </w:r>
      <w:r w:rsidR="001561F1">
        <w:t xml:space="preserve">, </w:t>
      </w:r>
      <w:r w:rsidR="004B128A">
        <w:t xml:space="preserve">Fields will </w:t>
      </w:r>
      <w:r w:rsidR="001561F1">
        <w:t xml:space="preserve">sometimes </w:t>
      </w:r>
      <w:r w:rsidR="003A1F15">
        <w:t>identify specific evidence needs</w:t>
      </w:r>
      <w:r w:rsidR="004B128A">
        <w:t xml:space="preserve"> </w:t>
      </w:r>
      <w:r w:rsidR="003A1F15">
        <w:t xml:space="preserve">of their </w:t>
      </w:r>
      <w:r w:rsidR="004B128A">
        <w:t xml:space="preserve">stakeholders </w:t>
      </w:r>
      <w:r w:rsidR="003709ED">
        <w:t>that are not being produced</w:t>
      </w:r>
      <w:r w:rsidR="003A1F15">
        <w:t>,</w:t>
      </w:r>
      <w:r w:rsidR="003709ED">
        <w:t xml:space="preserve"> or planned to be produced</w:t>
      </w:r>
      <w:r w:rsidR="003A1F15">
        <w:t>, by CRGs. In this case</w:t>
      </w:r>
      <w:r>
        <w:t>,</w:t>
      </w:r>
      <w:r w:rsidR="003709ED">
        <w:t xml:space="preserve"> </w:t>
      </w:r>
      <w:r w:rsidR="004B128A">
        <w:t xml:space="preserve">they may end up </w:t>
      </w:r>
      <w:r w:rsidR="00B7085A">
        <w:t>needing to take on a review production role</w:t>
      </w:r>
      <w:r w:rsidR="001561F1">
        <w:t>:</w:t>
      </w:r>
      <w:r w:rsidR="00B7085A">
        <w:t xml:space="preserve"> either in collaboration with a CRG or on their own where a CRG is unwilling to support them. </w:t>
      </w:r>
      <w:r w:rsidR="003A1F15">
        <w:t>It</w:t>
      </w:r>
      <w:r w:rsidR="00B7085A">
        <w:t xml:space="preserve"> </w:t>
      </w:r>
      <w:r w:rsidR="007F0052">
        <w:t>is</w:t>
      </w:r>
      <w:r w:rsidR="00B7085A">
        <w:t xml:space="preserve"> essential that we have mechanisms to </w:t>
      </w:r>
      <w:r w:rsidR="00B7085A" w:rsidRPr="00E67F3C">
        <w:t xml:space="preserve">support </w:t>
      </w:r>
      <w:r w:rsidR="003A1F15">
        <w:t>Fields in this activity</w:t>
      </w:r>
      <w:r w:rsidR="00B7085A" w:rsidRPr="00E67F3C">
        <w:t xml:space="preserve"> when CRGs are unable to</w:t>
      </w:r>
      <w:r w:rsidR="00B7085A" w:rsidRPr="00DC255E">
        <w:t xml:space="preserve"> provide the </w:t>
      </w:r>
      <w:r w:rsidR="007F0052" w:rsidRPr="00FB459B">
        <w:t>required support</w:t>
      </w:r>
      <w:r w:rsidR="003A1F15">
        <w:t>; but we do not want to encourage Fields to become new CRGs</w:t>
      </w:r>
      <w:r w:rsidR="001561F1">
        <w:t>,</w:t>
      </w:r>
      <w:r w:rsidR="003A1F15">
        <w:t xml:space="preserve"> focused on </w:t>
      </w:r>
      <w:r w:rsidR="005C4BF5">
        <w:t>review</w:t>
      </w:r>
      <w:r w:rsidR="003A1F15">
        <w:t xml:space="preserve"> production</w:t>
      </w:r>
      <w:r w:rsidR="0012304B" w:rsidRPr="00DC255E">
        <w:t>. This topic is covered in more detail</w:t>
      </w:r>
      <w:r w:rsidR="004A1FA7" w:rsidRPr="00FB459B">
        <w:t xml:space="preserve"> </w:t>
      </w:r>
      <w:r w:rsidR="006C6ADE" w:rsidRPr="008216F0">
        <w:t xml:space="preserve">in section </w:t>
      </w:r>
      <w:r w:rsidR="006360D5">
        <w:t>6.2</w:t>
      </w:r>
      <w:r w:rsidR="006C6ADE" w:rsidRPr="008216F0">
        <w:t xml:space="preserve"> </w:t>
      </w:r>
      <w:r w:rsidR="004A1FA7" w:rsidRPr="00E67F3C">
        <w:t>below.</w:t>
      </w:r>
    </w:p>
    <w:p w:rsidR="006360D5" w:rsidRDefault="006360D5" w:rsidP="006F1CD5">
      <w:pPr>
        <w:pStyle w:val="BodyText"/>
      </w:pPr>
      <w:r>
        <w:t xml:space="preserve">Given the importance of the </w:t>
      </w:r>
      <w:r w:rsidR="00DF0E3B">
        <w:t xml:space="preserve">new Field </w:t>
      </w:r>
      <w:r>
        <w:t xml:space="preserve">role, we need to </w:t>
      </w:r>
      <w:r w:rsidR="004E7EB8">
        <w:t>prioritize</w:t>
      </w:r>
      <w:r>
        <w:t xml:space="preserve"> establishing n</w:t>
      </w:r>
      <w:r w:rsidR="00511D7E" w:rsidRPr="001138A9">
        <w:t xml:space="preserve">ew </w:t>
      </w:r>
      <w:r w:rsidR="005C4BF5">
        <w:t>Fields</w:t>
      </w:r>
      <w:r w:rsidR="00511D7E" w:rsidRPr="001138A9">
        <w:t xml:space="preserve"> based on </w:t>
      </w:r>
      <w:r>
        <w:t xml:space="preserve">where we see the strongest </w:t>
      </w:r>
      <w:r w:rsidR="00511D7E" w:rsidRPr="001138A9">
        <w:t>external</w:t>
      </w:r>
      <w:r>
        <w:t xml:space="preserve"> need for engagement. This is covered further in section 5.3. </w:t>
      </w:r>
      <w:r w:rsidR="00511D7E" w:rsidRPr="001138A9">
        <w:t xml:space="preserve"> </w:t>
      </w:r>
    </w:p>
    <w:p w:rsidR="00511D7E" w:rsidRPr="001138A9" w:rsidRDefault="00115963" w:rsidP="006F1CD5">
      <w:pPr>
        <w:pStyle w:val="BodyText"/>
      </w:pPr>
      <w:r>
        <w:t>When thinking about new Fields we</w:t>
      </w:r>
      <w:r w:rsidR="006360D5">
        <w:t xml:space="preserve"> should </w:t>
      </w:r>
      <w:r w:rsidR="004E7EB8">
        <w:t>not assume</w:t>
      </w:r>
      <w:r>
        <w:t xml:space="preserve"> they </w:t>
      </w:r>
      <w:r w:rsidR="004E7EB8">
        <w:t xml:space="preserve">need to </w:t>
      </w:r>
      <w:r>
        <w:t xml:space="preserve">be </w:t>
      </w:r>
      <w:r w:rsidR="00511D7E">
        <w:t>established as indefinite presences</w:t>
      </w:r>
      <w:r w:rsidR="00511D7E" w:rsidRPr="001138A9">
        <w:t xml:space="preserve">. For example, if there was a </w:t>
      </w:r>
      <w:r>
        <w:t>global</w:t>
      </w:r>
      <w:r w:rsidR="00511D7E" w:rsidRPr="001138A9">
        <w:t xml:space="preserve"> initiative running for three years and it was important Cochrane had a cohesive </w:t>
      </w:r>
      <w:r w:rsidR="00511D7E">
        <w:t>KT group</w:t>
      </w:r>
      <w:r w:rsidR="00511D7E" w:rsidRPr="001138A9">
        <w:t xml:space="preserve"> responding </w:t>
      </w:r>
      <w:r w:rsidR="00511D7E" w:rsidRPr="009B7A45">
        <w:t>directly</w:t>
      </w:r>
      <w:r w:rsidR="00511D7E" w:rsidRPr="00D51CD0">
        <w:t xml:space="preserve"> </w:t>
      </w:r>
      <w:r w:rsidR="00511D7E" w:rsidRPr="001138A9">
        <w:t xml:space="preserve">to that initiative, then a Field could be set up for the duration of the initiative and disbanded once the specific external need was met. </w:t>
      </w:r>
    </w:p>
    <w:p w:rsidR="004E7EB8" w:rsidRDefault="00511D7E" w:rsidP="009478A9">
      <w:pPr>
        <w:pStyle w:val="BodyText"/>
        <w:spacing w:after="240"/>
      </w:pPr>
      <w:r w:rsidRPr="001138A9">
        <w:t xml:space="preserve">This approach will also be able to take advantage of the </w:t>
      </w:r>
      <w:r>
        <w:t xml:space="preserve">new Cochrane </w:t>
      </w:r>
      <w:r w:rsidRPr="001138A9">
        <w:t>Membership scheme</w:t>
      </w:r>
      <w:r>
        <w:t>,</w:t>
      </w:r>
      <w:r w:rsidRPr="001138A9">
        <w:t xml:space="preserve"> </w:t>
      </w:r>
      <w:r>
        <w:t>launch</w:t>
      </w:r>
      <w:r w:rsidR="004E7EB8">
        <w:t>ing</w:t>
      </w:r>
      <w:r>
        <w:t xml:space="preserve"> in April 2017</w:t>
      </w:r>
      <w:r w:rsidRPr="001138A9">
        <w:t xml:space="preserve">, as it will allow newcomers to be more effectively </w:t>
      </w:r>
      <w:r w:rsidR="00A97EC0">
        <w:t>channelled</w:t>
      </w:r>
      <w:r w:rsidRPr="001138A9">
        <w:t xml:space="preserve"> to the Field </w:t>
      </w:r>
      <w:proofErr w:type="gramStart"/>
      <w:r w:rsidR="00114352">
        <w:t>in the area of</w:t>
      </w:r>
      <w:proofErr w:type="gramEnd"/>
      <w:r w:rsidR="00114352">
        <w:t xml:space="preserve"> work individuals are interested in</w:t>
      </w:r>
      <w:r w:rsidRPr="001138A9">
        <w:t xml:space="preserve">. </w:t>
      </w:r>
    </w:p>
    <w:p w:rsidR="00BB5BF3" w:rsidRDefault="00AA1A16" w:rsidP="006F1CD5">
      <w:pPr>
        <w:pStyle w:val="Headings2"/>
      </w:pPr>
      <w:r>
        <w:t>Functions</w:t>
      </w:r>
      <w:r w:rsidR="00BF3CA2">
        <w:t xml:space="preserve"> of Fields</w:t>
      </w:r>
    </w:p>
    <w:p w:rsidR="004E7EB8" w:rsidRDefault="004E7EB8" w:rsidP="008216F0">
      <w:pPr>
        <w:pStyle w:val="BodyText"/>
        <w:sectPr w:rsidR="004E7EB8" w:rsidSect="00D25CDB">
          <w:headerReference w:type="default" r:id="rId15"/>
          <w:footerReference w:type="default" r:id="rId16"/>
          <w:pgSz w:w="11906" w:h="16838" w:code="9"/>
          <w:pgMar w:top="1701" w:right="1134" w:bottom="1134" w:left="1134" w:header="680" w:footer="624" w:gutter="0"/>
          <w:cols w:space="708"/>
          <w:docGrid w:linePitch="360"/>
        </w:sectPr>
      </w:pPr>
    </w:p>
    <w:p w:rsidR="00BB4F30" w:rsidRDefault="00AA1A16" w:rsidP="008216F0">
      <w:pPr>
        <w:pStyle w:val="BodyText"/>
      </w:pPr>
      <w:r>
        <w:t xml:space="preserve">The functions of </w:t>
      </w:r>
      <w:r w:rsidR="00BA6617">
        <w:t>Fields need to evolve to support this model</w:t>
      </w:r>
      <w:r>
        <w:t xml:space="preserve">. </w:t>
      </w:r>
      <w:r w:rsidR="00774310">
        <w:t>A</w:t>
      </w:r>
      <w:r>
        <w:t xml:space="preserve"> summary view of the </w:t>
      </w:r>
      <w:r w:rsidR="00985B7B">
        <w:t>KT Strategy</w:t>
      </w:r>
      <w:r>
        <w:t xml:space="preserve"> breaks down the functional requirement of Fields into four </w:t>
      </w:r>
      <w:r w:rsidR="00115963">
        <w:t>areas</w:t>
      </w:r>
      <w:r>
        <w:t xml:space="preserve"> of activity</w:t>
      </w:r>
      <w:r w:rsidR="00774310">
        <w:t>, which</w:t>
      </w:r>
      <w:r>
        <w:t xml:space="preserve"> </w:t>
      </w:r>
      <w:r w:rsidR="00BB4F30">
        <w:t>clarif</w:t>
      </w:r>
      <w:r w:rsidR="00774310">
        <w:t>y</w:t>
      </w:r>
      <w:r w:rsidR="00BB4F30">
        <w:t xml:space="preserve"> Fields</w:t>
      </w:r>
      <w:r w:rsidR="003074EA">
        <w:t>’</w:t>
      </w:r>
      <w:r w:rsidR="00BB4F30">
        <w:t xml:space="preserve"> contribution to Cochrane </w:t>
      </w:r>
      <w:r w:rsidR="00774310">
        <w:t xml:space="preserve">as </w:t>
      </w:r>
      <w:r w:rsidR="00BB4F30">
        <w:t xml:space="preserve">part of a broader spectrum of knowledge translation activities. </w:t>
      </w:r>
      <w:r w:rsidR="00115963">
        <w:t xml:space="preserve">Fields </w:t>
      </w:r>
      <w:r w:rsidR="00774310">
        <w:t xml:space="preserve">will </w:t>
      </w:r>
      <w:r w:rsidR="00115963">
        <w:t xml:space="preserve">use the KT Strategy as the basis for their work plans. </w:t>
      </w:r>
    </w:p>
    <w:p w:rsidR="00AA1A16" w:rsidRDefault="00774310" w:rsidP="006F1CD5">
      <w:pPr>
        <w:pStyle w:val="PagesBodytext"/>
        <w:spacing w:after="0"/>
        <w:jc w:val="both"/>
        <w:rPr>
          <w:sz w:val="22"/>
        </w:rPr>
      </w:pPr>
      <w:r w:rsidRPr="000573BA">
        <w:rPr>
          <w:noProof/>
          <w:lang w:eastAsia="en-GB"/>
        </w:rPr>
        <w:drawing>
          <wp:anchor distT="0" distB="0" distL="114300" distR="114300" simplePos="0" relativeHeight="251703296" behindDoc="0" locked="0" layoutInCell="1" allowOverlap="0" wp14:anchorId="4D03E50F" wp14:editId="297740B3">
            <wp:simplePos x="0" y="0"/>
            <wp:positionH relativeFrom="column">
              <wp:posOffset>-58420</wp:posOffset>
            </wp:positionH>
            <wp:positionV relativeFrom="page">
              <wp:posOffset>805180</wp:posOffset>
            </wp:positionV>
            <wp:extent cx="6119495" cy="3589020"/>
            <wp:effectExtent l="0" t="0" r="190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9495" cy="3589020"/>
                    </a:xfrm>
                    <a:prstGeom prst="rect">
                      <a:avLst/>
                    </a:prstGeom>
                  </pic:spPr>
                </pic:pic>
              </a:graphicData>
            </a:graphic>
            <wp14:sizeRelH relativeFrom="margin">
              <wp14:pctWidth>0</wp14:pctWidth>
            </wp14:sizeRelH>
            <wp14:sizeRelV relativeFrom="margin">
              <wp14:pctHeight>0</wp14:pctHeight>
            </wp14:sizeRelV>
          </wp:anchor>
        </w:drawing>
      </w:r>
    </w:p>
    <w:p w:rsidR="00B97195" w:rsidRPr="007660B1" w:rsidRDefault="00AA1A16" w:rsidP="006F1CD5">
      <w:pPr>
        <w:pStyle w:val="Headings2"/>
      </w:pPr>
      <w:r>
        <w:t>Struc</w:t>
      </w:r>
      <w:r w:rsidR="006D16F9">
        <w:t>t</w:t>
      </w:r>
      <w:r>
        <w:t xml:space="preserve">ures </w:t>
      </w:r>
      <w:r w:rsidR="00BF3CA2">
        <w:t>of</w:t>
      </w:r>
      <w:r w:rsidR="00BF3CA2" w:rsidRPr="007660B1">
        <w:t xml:space="preserve"> </w:t>
      </w:r>
      <w:r w:rsidR="004463AA" w:rsidRPr="007660B1">
        <w:t>Fields</w:t>
      </w:r>
    </w:p>
    <w:p w:rsidR="004B3B9E" w:rsidRPr="001138A9" w:rsidRDefault="00A03BC5" w:rsidP="008216F0">
      <w:pPr>
        <w:pStyle w:val="BodyText"/>
      </w:pPr>
      <w:r w:rsidRPr="001138A9">
        <w:t xml:space="preserve">Fields don’t need to be fixed </w:t>
      </w:r>
      <w:r w:rsidR="00D51CD0">
        <w:t>entities rooted</w:t>
      </w:r>
      <w:r w:rsidR="00D51CD0" w:rsidRPr="001138A9">
        <w:t xml:space="preserve"> </w:t>
      </w:r>
      <w:r w:rsidRPr="001138A9">
        <w:t xml:space="preserve">in one </w:t>
      </w:r>
      <w:r w:rsidR="00D51CD0">
        <w:t>location</w:t>
      </w:r>
      <w:r w:rsidRPr="001138A9">
        <w:t xml:space="preserve">. </w:t>
      </w:r>
      <w:r w:rsidR="00CA3427" w:rsidRPr="001138A9">
        <w:t>The</w:t>
      </w:r>
      <w:r w:rsidR="001805E8" w:rsidRPr="001138A9">
        <w:t xml:space="preserve"> most appropriate </w:t>
      </w:r>
      <w:r w:rsidR="00CA3427" w:rsidRPr="001138A9">
        <w:t xml:space="preserve">organising model </w:t>
      </w:r>
      <w:r w:rsidR="001805E8" w:rsidRPr="001138A9">
        <w:t xml:space="preserve">for Fields </w:t>
      </w:r>
      <w:r w:rsidR="00CA3427" w:rsidRPr="001138A9">
        <w:t xml:space="preserve">is </w:t>
      </w:r>
      <w:r w:rsidR="001805E8" w:rsidRPr="001138A9">
        <w:t xml:space="preserve">a </w:t>
      </w:r>
      <w:r w:rsidR="00CA3427" w:rsidRPr="001138A9">
        <w:t>‘</w:t>
      </w:r>
      <w:r w:rsidR="001805E8" w:rsidRPr="001138A9">
        <w:t>dispersed network</w:t>
      </w:r>
      <w:r w:rsidR="00CA3427" w:rsidRPr="001138A9">
        <w:t>’</w:t>
      </w:r>
      <w:r w:rsidR="001805E8" w:rsidRPr="001138A9">
        <w:t xml:space="preserve"> model</w:t>
      </w:r>
      <w:r w:rsidR="00CA3427" w:rsidRPr="001138A9">
        <w:t>,</w:t>
      </w:r>
      <w:r w:rsidR="001805E8" w:rsidRPr="001138A9">
        <w:t xml:space="preserve"> </w:t>
      </w:r>
      <w:r w:rsidR="00730569" w:rsidRPr="001138A9">
        <w:t>in which the activity of people in different places around the world is managed from one or several sites</w:t>
      </w:r>
      <w:r w:rsidR="00CF7807">
        <w:t xml:space="preserve"> (many Fields already operate on this principle</w:t>
      </w:r>
      <w:r w:rsidR="008A5C10">
        <w:t>).</w:t>
      </w:r>
    </w:p>
    <w:p w:rsidR="00AA1A16" w:rsidRDefault="008A5C10">
      <w:pPr>
        <w:pStyle w:val="BodyText"/>
      </w:pPr>
      <w:r>
        <w:t>Within the Field, a</w:t>
      </w:r>
      <w:r w:rsidR="00515184" w:rsidRPr="001138A9">
        <w:t xml:space="preserve"> structure of </w:t>
      </w:r>
      <w:r w:rsidR="005E11C4" w:rsidRPr="001138A9">
        <w:t>subgroups</w:t>
      </w:r>
      <w:r w:rsidR="00515184" w:rsidRPr="001138A9">
        <w:t xml:space="preserve"> </w:t>
      </w:r>
      <w:r>
        <w:t>is</w:t>
      </w:r>
      <w:r w:rsidR="00515184" w:rsidRPr="001138A9">
        <w:t xml:space="preserve"> a useful approach</w:t>
      </w:r>
      <w:r>
        <w:t xml:space="preserve"> as it allows for</w:t>
      </w:r>
      <w:r w:rsidR="00515184" w:rsidRPr="001138A9">
        <w:t xml:space="preserve"> leadership </w:t>
      </w:r>
      <w:r>
        <w:t>in</w:t>
      </w:r>
      <w:r w:rsidR="00515184" w:rsidRPr="001138A9">
        <w:t xml:space="preserve"> certain areas of work </w:t>
      </w:r>
      <w:r>
        <w:t>to be</w:t>
      </w:r>
      <w:r w:rsidR="00515184" w:rsidRPr="001138A9">
        <w:t xml:space="preserve"> delegated to small Groups. </w:t>
      </w:r>
      <w:r w:rsidR="003A4F1A">
        <w:t>This</w:t>
      </w:r>
      <w:r>
        <w:t xml:space="preserve"> helps build both capacity and </w:t>
      </w:r>
      <w:r w:rsidR="007F0052">
        <w:t>capability</w:t>
      </w:r>
      <w:r>
        <w:t xml:space="preserve"> within the Field</w:t>
      </w:r>
      <w:r w:rsidR="00815DFC" w:rsidRPr="001138A9">
        <w:t xml:space="preserve"> and </w:t>
      </w:r>
      <w:r>
        <w:t xml:space="preserve">it </w:t>
      </w:r>
      <w:r w:rsidR="00815DFC" w:rsidRPr="001138A9">
        <w:t xml:space="preserve">allows for deeper engagement from a broader range of interested parties. </w:t>
      </w:r>
      <w:r w:rsidR="00AA1A16">
        <w:t xml:space="preserve">Such sub-groups are to be promoted as part of the Field and not as </w:t>
      </w:r>
      <w:proofErr w:type="gramStart"/>
      <w:r w:rsidR="00AA1A16">
        <w:t>Groups in their own right</w:t>
      </w:r>
      <w:proofErr w:type="gramEnd"/>
      <w:r w:rsidR="00AA1A16">
        <w:t xml:space="preserve">. </w:t>
      </w:r>
    </w:p>
    <w:p w:rsidR="00515184" w:rsidRPr="001138A9" w:rsidRDefault="00776BAE">
      <w:pPr>
        <w:pStyle w:val="BodyText"/>
      </w:pPr>
      <w:r>
        <w:t xml:space="preserve">Fields </w:t>
      </w:r>
      <w:r w:rsidR="000B579D">
        <w:t xml:space="preserve">should </w:t>
      </w:r>
      <w:r>
        <w:t xml:space="preserve">also seek to establish cross-cutting networks that interact with geographic </w:t>
      </w:r>
      <w:r w:rsidR="000B579D">
        <w:t>KT activity</w:t>
      </w:r>
      <w:r>
        <w:t xml:space="preserve">. </w:t>
      </w:r>
      <w:r w:rsidR="00511D7E">
        <w:t xml:space="preserve">Initially, Fields might identify key individuals in different countries and connect them with the KT work in their country as a representative of the Field. </w:t>
      </w:r>
      <w:r w:rsidR="00114352">
        <w:t>In the l</w:t>
      </w:r>
      <w:r w:rsidR="00511D7E">
        <w:t>ong</w:t>
      </w:r>
      <w:r w:rsidR="00114352">
        <w:t xml:space="preserve"> run</w:t>
      </w:r>
      <w:r w:rsidR="007F0052">
        <w:t>,</w:t>
      </w:r>
      <w:r w:rsidR="00C74E49">
        <w:t xml:space="preserve"> we would aspire </w:t>
      </w:r>
      <w:r w:rsidR="00511D7E">
        <w:t>f</w:t>
      </w:r>
      <w:r w:rsidR="00C74E49">
        <w:t xml:space="preserve">or </w:t>
      </w:r>
      <w:r w:rsidR="00511D7E">
        <w:t xml:space="preserve">each </w:t>
      </w:r>
      <w:r w:rsidR="00A13E55">
        <w:t xml:space="preserve">KT-focussed </w:t>
      </w:r>
      <w:r w:rsidR="00774310">
        <w:t>g</w:t>
      </w:r>
      <w:r w:rsidR="00511D7E">
        <w:t xml:space="preserve">eographic </w:t>
      </w:r>
      <w:r w:rsidR="00491ED1">
        <w:t>G</w:t>
      </w:r>
      <w:r w:rsidR="00511D7E">
        <w:t xml:space="preserve">roup to have access to a named individual from each Field to foster collaboration and ensure that </w:t>
      </w:r>
      <w:r w:rsidR="00114352">
        <w:t xml:space="preserve">the </w:t>
      </w:r>
      <w:r w:rsidR="00511D7E">
        <w:t xml:space="preserve">work of the Field can be implemented </w:t>
      </w:r>
      <w:r w:rsidR="00491ED1">
        <w:t>across the world</w:t>
      </w:r>
      <w:r w:rsidR="00511D7E">
        <w:t xml:space="preserve">. Building such comprehensive networks will take time for Fields, and they will need to grow in line with the KT capacity in </w:t>
      </w:r>
      <w:r w:rsidR="00774310">
        <w:t>g</w:t>
      </w:r>
      <w:r w:rsidR="00511D7E">
        <w:t xml:space="preserve">eographic </w:t>
      </w:r>
      <w:r w:rsidR="00491ED1">
        <w:t>G</w:t>
      </w:r>
      <w:r w:rsidR="00511D7E">
        <w:t xml:space="preserve">roups, but this intersection between geographic-focussed KT and </w:t>
      </w:r>
      <w:r w:rsidR="00C506FD">
        <w:t>topic</w:t>
      </w:r>
      <w:r w:rsidR="00511D7E">
        <w:t>-focussed KT is critical to achieve the maximum impact and minimum duplication of effort.</w:t>
      </w:r>
    </w:p>
    <w:p w:rsidR="00084281" w:rsidRDefault="00776BAE" w:rsidP="008216F0">
      <w:pPr>
        <w:pStyle w:val="BodyText"/>
      </w:pPr>
      <w:r>
        <w:t xml:space="preserve">Whilst we want to support </w:t>
      </w:r>
      <w:r w:rsidR="005C4BF5">
        <w:t>low-</w:t>
      </w:r>
      <w:r>
        <w:t xml:space="preserve">cost models for supporting KT activity, </w:t>
      </w:r>
      <w:r w:rsidR="00730569" w:rsidRPr="001138A9">
        <w:t xml:space="preserve">it is important to acknowledge that knowledge translation work is a serious undertaking that requires dedicated effort from those involved. </w:t>
      </w:r>
      <w:r w:rsidR="00EA1A74">
        <w:t>Fields which</w:t>
      </w:r>
      <w:r w:rsidR="00730569" w:rsidRPr="001138A9">
        <w:t xml:space="preserve"> have </w:t>
      </w:r>
      <w:r w:rsidR="00EA1A74">
        <w:t xml:space="preserve">consistently </w:t>
      </w:r>
      <w:r w:rsidR="00730569" w:rsidRPr="001138A9">
        <w:t xml:space="preserve">had </w:t>
      </w:r>
      <w:r w:rsidR="00EA1A74">
        <w:t>full-time</w:t>
      </w:r>
      <w:r w:rsidR="00EA1A74" w:rsidRPr="001138A9">
        <w:t xml:space="preserve"> </w:t>
      </w:r>
      <w:r w:rsidR="00730569" w:rsidRPr="001138A9">
        <w:t xml:space="preserve">staff have been more productive, as would be expected, and so whilst we want to promote models that are </w:t>
      </w:r>
      <w:r w:rsidR="00EA1A74" w:rsidRPr="001138A9">
        <w:t>low</w:t>
      </w:r>
      <w:r w:rsidR="00EA1A74">
        <w:t>-</w:t>
      </w:r>
      <w:r w:rsidR="00730569" w:rsidRPr="001138A9">
        <w:t>cost</w:t>
      </w:r>
      <w:r w:rsidR="005A6CB4" w:rsidRPr="001138A9">
        <w:t xml:space="preserve"> but</w:t>
      </w:r>
      <w:r w:rsidR="00730569" w:rsidRPr="001138A9">
        <w:t xml:space="preserve"> functional, we acknowledge that </w:t>
      </w:r>
      <w:r w:rsidR="00D51CD0">
        <w:t xml:space="preserve">Cochrane must secure sufficient funding in different </w:t>
      </w:r>
      <w:r w:rsidR="001138A9">
        <w:t>w</w:t>
      </w:r>
      <w:r w:rsidR="00D51CD0">
        <w:t xml:space="preserve">ays to resource </w:t>
      </w:r>
      <w:r w:rsidR="00774310">
        <w:t xml:space="preserve">adequately </w:t>
      </w:r>
      <w:r w:rsidR="00D51CD0">
        <w:t>its KT ambitions and objectives. This could be through seeking</w:t>
      </w:r>
      <w:r w:rsidR="00730569" w:rsidRPr="001138A9">
        <w:t xml:space="preserve"> project funding for </w:t>
      </w:r>
      <w:r w:rsidR="00EA1A74">
        <w:t>discrete</w:t>
      </w:r>
      <w:r w:rsidR="00EA1A74" w:rsidRPr="001138A9">
        <w:t xml:space="preserve"> </w:t>
      </w:r>
      <w:r w:rsidR="00D51CD0">
        <w:t>initiatives</w:t>
      </w:r>
      <w:r w:rsidR="00730569" w:rsidRPr="001138A9">
        <w:t xml:space="preserve"> within Fields. This has the disadvantage of being </w:t>
      </w:r>
      <w:r w:rsidR="005C4BF5" w:rsidRPr="001138A9">
        <w:t>short</w:t>
      </w:r>
      <w:r w:rsidR="005C4BF5">
        <w:t>-</w:t>
      </w:r>
      <w:r w:rsidR="00730569" w:rsidRPr="001138A9">
        <w:t xml:space="preserve">term and requires a lot of effort to secure </w:t>
      </w:r>
      <w:r w:rsidR="00D51CD0">
        <w:t xml:space="preserve">for </w:t>
      </w:r>
      <w:r w:rsidR="00730569" w:rsidRPr="001138A9">
        <w:t xml:space="preserve">each project, but it </w:t>
      </w:r>
      <w:r w:rsidR="00D51CD0">
        <w:t>is</w:t>
      </w:r>
      <w:r w:rsidR="00730569" w:rsidRPr="001138A9">
        <w:t xml:space="preserve"> an area where some Fields have had success. </w:t>
      </w:r>
    </w:p>
    <w:p w:rsidR="00F27BCD" w:rsidRDefault="00363881" w:rsidP="006F1CD5">
      <w:pPr>
        <w:pStyle w:val="Headings2"/>
      </w:pPr>
      <w:r>
        <w:t>Coverage of Fields</w:t>
      </w:r>
    </w:p>
    <w:p w:rsidR="00CC29E4" w:rsidRDefault="00977F39" w:rsidP="008216F0">
      <w:pPr>
        <w:pStyle w:val="BodyText"/>
      </w:pPr>
      <w:r>
        <w:t xml:space="preserve">Current Fields cover specific areas of interest that have evolved </w:t>
      </w:r>
      <w:r w:rsidR="00774310">
        <w:t xml:space="preserve">in an </w:t>
      </w:r>
      <w:r w:rsidR="00774310" w:rsidRPr="006F1CD5">
        <w:rPr>
          <w:i/>
        </w:rPr>
        <w:t>ad hoc</w:t>
      </w:r>
      <w:r w:rsidR="00774310">
        <w:t xml:space="preserve"> way </w:t>
      </w:r>
      <w:r>
        <w:t xml:space="preserve">over </w:t>
      </w:r>
      <w:r w:rsidR="00774310">
        <w:t>the last two decades</w:t>
      </w:r>
      <w:r>
        <w:t xml:space="preserve">. </w:t>
      </w:r>
      <w:r w:rsidR="00774310">
        <w:t>Cochrane needs to take a more consistent, co-ordinated and planned approach to the coverage of Fields work in the future, targeting the</w:t>
      </w:r>
      <w:r w:rsidR="00CC29E4">
        <w:t xml:space="preserve"> healthcare sectors, treatments, populations or audiences </w:t>
      </w:r>
      <w:r w:rsidR="00A00E60">
        <w:t>where its evidence can make the greatest impact</w:t>
      </w:r>
      <w:r w:rsidR="00CC29E4">
        <w:t xml:space="preserve">. Ideally we would want comprehensive coverage across </w:t>
      </w:r>
      <w:r w:rsidR="007C72D4">
        <w:t>these</w:t>
      </w:r>
      <w:r w:rsidR="00CC29E4">
        <w:t xml:space="preserve"> areas, but we need to prioritise our efforts and work out where there are gaps in the existing model where we need to establish new Fields. </w:t>
      </w:r>
    </w:p>
    <w:p w:rsidR="0069543C" w:rsidRPr="00EB0949" w:rsidRDefault="00CC29E4" w:rsidP="008216F0">
      <w:pPr>
        <w:pStyle w:val="BodyText"/>
        <w:rPr>
          <w:color w:val="000000" w:themeColor="text1"/>
        </w:rPr>
      </w:pPr>
      <w:r>
        <w:t xml:space="preserve">There is also the question of what Fields are needed in condition areas. </w:t>
      </w:r>
      <w:r w:rsidR="00EB0949">
        <w:t xml:space="preserve">The existing 52 </w:t>
      </w:r>
      <w:r>
        <w:t xml:space="preserve">CRGs </w:t>
      </w:r>
      <w:r w:rsidR="00E36940">
        <w:t xml:space="preserve">have been </w:t>
      </w:r>
      <w:r>
        <w:t xml:space="preserve">structured by </w:t>
      </w:r>
      <w:r w:rsidR="00EB0949">
        <w:t xml:space="preserve">their focus on specialized </w:t>
      </w:r>
      <w:r>
        <w:t>condition</w:t>
      </w:r>
      <w:r w:rsidR="00EB0949">
        <w:t>s</w:t>
      </w:r>
      <w:r>
        <w:t xml:space="preserve">, and </w:t>
      </w:r>
      <w:r w:rsidR="00EB0949">
        <w:t>it would</w:t>
      </w:r>
      <w:r>
        <w:t xml:space="preserve"> </w:t>
      </w:r>
      <w:r w:rsidR="00EB0949">
        <w:t xml:space="preserve">have </w:t>
      </w:r>
      <w:r>
        <w:t>be</w:t>
      </w:r>
      <w:r w:rsidR="00EB0949">
        <w:t>en</w:t>
      </w:r>
      <w:r>
        <w:t xml:space="preserve"> duplicative to have Fields covering the same conditions. However, </w:t>
      </w:r>
      <w:r w:rsidR="002D5ABB">
        <w:t xml:space="preserve">the CRG transformation programme will establish new more consolidated ‘networks’ of </w:t>
      </w:r>
      <w:r>
        <w:t>CRGs</w:t>
      </w:r>
      <w:r w:rsidR="00EB0949">
        <w:t>,</w:t>
      </w:r>
      <w:r>
        <w:t xml:space="preserve"> </w:t>
      </w:r>
      <w:r w:rsidR="002D5ABB">
        <w:t>and this may allow us to</w:t>
      </w:r>
      <w:r>
        <w:t xml:space="preserve"> identify new Fields work</w:t>
      </w:r>
      <w:r w:rsidR="002D5ABB">
        <w:t>ing</w:t>
      </w:r>
      <w:r>
        <w:t xml:space="preserve"> at the level of the combined editorial </w:t>
      </w:r>
      <w:r w:rsidR="00EB0949">
        <w:rPr>
          <w:color w:val="000000" w:themeColor="text1"/>
        </w:rPr>
        <w:t>groups, so that the</w:t>
      </w:r>
      <w:r w:rsidRPr="00EB0949">
        <w:rPr>
          <w:color w:val="000000" w:themeColor="text1"/>
        </w:rPr>
        <w:t xml:space="preserve"> CRGs working together can link to stakeholder groups of their combined area of interest</w:t>
      </w:r>
      <w:r w:rsidR="00F960FF" w:rsidRPr="00EB0949">
        <w:rPr>
          <w:color w:val="000000" w:themeColor="text1"/>
        </w:rPr>
        <w:t>,</w:t>
      </w:r>
      <w:r w:rsidRPr="00EB0949">
        <w:rPr>
          <w:color w:val="000000" w:themeColor="text1"/>
        </w:rPr>
        <w:t xml:space="preserve"> as well as with </w:t>
      </w:r>
      <w:r w:rsidR="00EB0949">
        <w:rPr>
          <w:color w:val="000000" w:themeColor="text1"/>
        </w:rPr>
        <w:t>the</w:t>
      </w:r>
      <w:r w:rsidRPr="00EB0949">
        <w:rPr>
          <w:color w:val="000000" w:themeColor="text1"/>
        </w:rPr>
        <w:t xml:space="preserve"> stakeholders </w:t>
      </w:r>
      <w:r w:rsidR="00EB0949">
        <w:rPr>
          <w:color w:val="000000" w:themeColor="text1"/>
        </w:rPr>
        <w:t>in</w:t>
      </w:r>
      <w:r w:rsidRPr="00EB0949">
        <w:rPr>
          <w:color w:val="000000" w:themeColor="text1"/>
        </w:rPr>
        <w:t xml:space="preserve"> their individual areas of interest that they already work with. </w:t>
      </w:r>
      <w:r w:rsidR="00EB0949">
        <w:rPr>
          <w:color w:val="000000" w:themeColor="text1"/>
        </w:rPr>
        <w:t>These new Fields could be built from KT-</w:t>
      </w:r>
      <w:r w:rsidR="00EB0949" w:rsidRPr="00EB0949">
        <w:rPr>
          <w:color w:val="000000" w:themeColor="text1"/>
        </w:rPr>
        <w:t xml:space="preserve">interested individuals within the CRGs or through partnering with another organisation </w:t>
      </w:r>
      <w:r w:rsidR="00EB0949">
        <w:rPr>
          <w:color w:val="000000" w:themeColor="text1"/>
        </w:rPr>
        <w:t>with</w:t>
      </w:r>
      <w:r w:rsidR="00EB0949" w:rsidRPr="00EB0949">
        <w:rPr>
          <w:color w:val="000000" w:themeColor="text1"/>
        </w:rPr>
        <w:t xml:space="preserve"> an interest in this role. An example is the nascent </w:t>
      </w:r>
      <w:r w:rsidR="00EB0949">
        <w:rPr>
          <w:color w:val="000000" w:themeColor="text1"/>
        </w:rPr>
        <w:t>‘</w:t>
      </w:r>
      <w:r w:rsidR="00EB0949" w:rsidRPr="00EB0949">
        <w:rPr>
          <w:color w:val="000000" w:themeColor="text1"/>
        </w:rPr>
        <w:t>Cochrane Global Mental Health</w:t>
      </w:r>
      <w:r w:rsidR="00EB0949">
        <w:rPr>
          <w:color w:val="000000" w:themeColor="text1"/>
        </w:rPr>
        <w:t>’</w:t>
      </w:r>
      <w:r w:rsidR="00EB0949" w:rsidRPr="00EB0949">
        <w:rPr>
          <w:color w:val="000000" w:themeColor="text1"/>
        </w:rPr>
        <w:t xml:space="preserve"> Group, which is being coordinated by the WHO and involves five CRGs covering the area of mental health. This new Cochrane Global Mental Health will facilitate the sharing production, dissemination and implementation of Cochrane reviews in low and middle-income countries.</w:t>
      </w:r>
    </w:p>
    <w:p w:rsidR="00F869F1" w:rsidRDefault="00F869F1" w:rsidP="008216F0">
      <w:pPr>
        <w:pStyle w:val="BodyText"/>
      </w:pPr>
      <w:r w:rsidRPr="00EB0949">
        <w:rPr>
          <w:color w:val="000000" w:themeColor="text1"/>
        </w:rPr>
        <w:t>As part of the implementation of the revised Fields model we will identify priority areas for new Fields where we feel stakeholder communities are underserved and</w:t>
      </w:r>
      <w:r w:rsidR="007C72D4" w:rsidRPr="00EB0949">
        <w:rPr>
          <w:color w:val="000000" w:themeColor="text1"/>
        </w:rPr>
        <w:t xml:space="preserve"> we</w:t>
      </w:r>
      <w:r w:rsidRPr="00EB0949">
        <w:rPr>
          <w:color w:val="000000" w:themeColor="text1"/>
        </w:rPr>
        <w:t xml:space="preserve"> will work with the CRG transformation programme to i</w:t>
      </w:r>
      <w:r>
        <w:t>dentify where the new, larger editorial units might need complementary KT capacity from a new Field.</w:t>
      </w:r>
    </w:p>
    <w:p w:rsidR="00BF3CA2" w:rsidRDefault="00BF3CA2" w:rsidP="008216F0">
      <w:pPr>
        <w:pStyle w:val="BodyText"/>
      </w:pPr>
    </w:p>
    <w:p w:rsidR="00905179" w:rsidRDefault="00BF3CA2" w:rsidP="00BF3CA2">
      <w:pPr>
        <w:pStyle w:val="PagesHeading"/>
        <w:ind w:left="709" w:hanging="709"/>
      </w:pPr>
      <w:bookmarkStart w:id="6" w:name="_Toc476132575"/>
      <w:r>
        <w:tab/>
      </w:r>
      <w:r w:rsidR="007F0052">
        <w:t>Specific</w:t>
      </w:r>
      <w:r w:rsidR="00BF618E">
        <w:t xml:space="preserve"> </w:t>
      </w:r>
      <w:r w:rsidR="00905179">
        <w:t>issues</w:t>
      </w:r>
      <w:r w:rsidR="00BF618E">
        <w:t xml:space="preserve"> identified that</w:t>
      </w:r>
      <w:r w:rsidR="00905179">
        <w:t xml:space="preserve"> affect the success of Fields</w:t>
      </w:r>
      <w:bookmarkEnd w:id="6"/>
    </w:p>
    <w:p w:rsidR="001A6F89" w:rsidRPr="007660B1" w:rsidRDefault="009232F3" w:rsidP="006F1CD5">
      <w:pPr>
        <w:pStyle w:val="Headings2"/>
      </w:pPr>
      <w:r>
        <w:t>Infrastructure to support</w:t>
      </w:r>
      <w:r w:rsidR="001A6F89" w:rsidRPr="007660B1">
        <w:t xml:space="preserve"> collaboration</w:t>
      </w:r>
    </w:p>
    <w:p w:rsidR="001A6F89" w:rsidRPr="001138A9" w:rsidRDefault="00EB27FD" w:rsidP="008216F0">
      <w:pPr>
        <w:pStyle w:val="BodyText"/>
      </w:pPr>
      <w:r>
        <w:t xml:space="preserve">Cochrane’s </w:t>
      </w:r>
      <w:r w:rsidR="00DF0672">
        <w:t xml:space="preserve">current </w:t>
      </w:r>
      <w:r>
        <w:t xml:space="preserve">internal structure, with rigid divisions between </w:t>
      </w:r>
      <w:r w:rsidR="00114352">
        <w:t>different</w:t>
      </w:r>
      <w:r>
        <w:t xml:space="preserve"> types of </w:t>
      </w:r>
      <w:r w:rsidR="00F636C3">
        <w:t>G</w:t>
      </w:r>
      <w:r>
        <w:t xml:space="preserve">roups, has in the past created barriers to collaboration which have </w:t>
      </w:r>
      <w:r w:rsidR="00114352">
        <w:t xml:space="preserve">- </w:t>
      </w:r>
      <w:r>
        <w:t xml:space="preserve">in turn </w:t>
      </w:r>
      <w:r w:rsidR="00114352">
        <w:t xml:space="preserve">- </w:t>
      </w:r>
      <w:r>
        <w:t xml:space="preserve">led to unsuccessful working relationships for Fields. </w:t>
      </w:r>
      <w:r w:rsidR="004149D2" w:rsidRPr="001138A9">
        <w:t xml:space="preserve">The barriers </w:t>
      </w:r>
      <w:r>
        <w:t>experienced</w:t>
      </w:r>
      <w:r w:rsidRPr="001138A9">
        <w:t xml:space="preserve"> </w:t>
      </w:r>
      <w:r w:rsidR="00AA5F76" w:rsidRPr="001138A9">
        <w:t xml:space="preserve">by Fields </w:t>
      </w:r>
      <w:r>
        <w:t xml:space="preserve">have </w:t>
      </w:r>
      <w:r w:rsidR="004149D2" w:rsidRPr="001138A9">
        <w:t>include</w:t>
      </w:r>
      <w:r>
        <w:t>d:</w:t>
      </w:r>
      <w:r w:rsidR="004149D2" w:rsidRPr="001138A9">
        <w:t xml:space="preserve"> communication issues between </w:t>
      </w:r>
      <w:r w:rsidR="002A48B7" w:rsidRPr="001138A9">
        <w:t xml:space="preserve">Fields and CRGs; lack of interest from CRGs in participating in Fields’ KT </w:t>
      </w:r>
      <w:r w:rsidR="00057B13" w:rsidRPr="001138A9">
        <w:t>initiatives</w:t>
      </w:r>
      <w:r w:rsidR="005D074B" w:rsidRPr="001138A9">
        <w:t>;</w:t>
      </w:r>
      <w:r w:rsidR="004149D2" w:rsidRPr="001138A9">
        <w:t xml:space="preserve"> </w:t>
      </w:r>
      <w:r w:rsidR="00D51CD0">
        <w:t xml:space="preserve">the </w:t>
      </w:r>
      <w:r w:rsidR="004149D2" w:rsidRPr="001138A9">
        <w:t xml:space="preserve">inability of a Field to </w:t>
      </w:r>
      <w:r>
        <w:t xml:space="preserve">effectively </w:t>
      </w:r>
      <w:r w:rsidR="004149D2" w:rsidRPr="001138A9">
        <w:t>track reviews the</w:t>
      </w:r>
      <w:r w:rsidR="005D074B" w:rsidRPr="001138A9">
        <w:t xml:space="preserve">y are interested in; </w:t>
      </w:r>
      <w:r w:rsidR="004149D2" w:rsidRPr="001138A9">
        <w:t xml:space="preserve">no </w:t>
      </w:r>
      <w:r w:rsidR="005D074B" w:rsidRPr="001138A9">
        <w:t xml:space="preserve">exposure of </w:t>
      </w:r>
      <w:r w:rsidR="00D51CD0">
        <w:t xml:space="preserve">the produced </w:t>
      </w:r>
      <w:r w:rsidR="005D074B" w:rsidRPr="001138A9">
        <w:t>KT outputs leading to duplication of effort; inability to share resources and good practice</w:t>
      </w:r>
      <w:r w:rsidR="00572E63" w:rsidRPr="001138A9">
        <w:t xml:space="preserve">; </w:t>
      </w:r>
      <w:r w:rsidR="00D51CD0">
        <w:t xml:space="preserve">and </w:t>
      </w:r>
      <w:r w:rsidR="00572E63" w:rsidRPr="001138A9">
        <w:t xml:space="preserve">conflict over </w:t>
      </w:r>
      <w:r w:rsidR="00D51CD0">
        <w:t xml:space="preserve">the </w:t>
      </w:r>
      <w:r w:rsidR="00572E63" w:rsidRPr="001138A9">
        <w:t>content of KT outputs</w:t>
      </w:r>
      <w:r w:rsidR="005D074B" w:rsidRPr="001138A9">
        <w:t>.</w:t>
      </w:r>
    </w:p>
    <w:p w:rsidR="001A6F89" w:rsidRPr="001138A9" w:rsidRDefault="001A6F89" w:rsidP="008216F0">
      <w:pPr>
        <w:pStyle w:val="BodyText"/>
      </w:pPr>
      <w:r w:rsidRPr="001138A9">
        <w:t xml:space="preserve">There is a need for easy and effective collaboration between those producing the reviews and the potentially diverse range of people involved in </w:t>
      </w:r>
      <w:r w:rsidR="005D074B" w:rsidRPr="001138A9">
        <w:t xml:space="preserve">knowledge translation and </w:t>
      </w:r>
      <w:r w:rsidR="003D264A" w:rsidRPr="001138A9">
        <w:t>dissemination</w:t>
      </w:r>
      <w:r w:rsidR="005D074B" w:rsidRPr="001138A9">
        <w:t xml:space="preserve"> of</w:t>
      </w:r>
      <w:r w:rsidRPr="001138A9">
        <w:t xml:space="preserve"> those reviews</w:t>
      </w:r>
      <w:r w:rsidR="00A30E18" w:rsidRPr="001138A9">
        <w:t xml:space="preserve"> or associated products</w:t>
      </w:r>
      <w:r w:rsidRPr="001138A9">
        <w:t xml:space="preserve"> to </w:t>
      </w:r>
      <w:r w:rsidR="005D074B" w:rsidRPr="001138A9">
        <w:t>our many external stakeholders</w:t>
      </w:r>
      <w:r w:rsidRPr="001138A9">
        <w:t>.</w:t>
      </w:r>
      <w:r w:rsidR="00CE2E9E">
        <w:t xml:space="preserve"> We will need to keep this challenge in mind as we implement the knowledge translation strategy and other key change initiatives, such as the CRG transformation programme.  </w:t>
      </w:r>
    </w:p>
    <w:p w:rsidR="006360C7" w:rsidRPr="00905179" w:rsidRDefault="0014043F" w:rsidP="008216F0">
      <w:pPr>
        <w:pStyle w:val="BodyText"/>
      </w:pPr>
      <w:r>
        <w:t>A</w:t>
      </w:r>
      <w:r w:rsidR="00CE2E9E">
        <w:t xml:space="preserve"> practical solution to some of the issues would be to create</w:t>
      </w:r>
      <w:r w:rsidR="00AE5C89" w:rsidRPr="001138A9">
        <w:t xml:space="preserve"> a way of</w:t>
      </w:r>
      <w:r w:rsidR="00EB27FD">
        <w:t xml:space="preserve"> centrally</w:t>
      </w:r>
      <w:r w:rsidR="00AE5C89" w:rsidRPr="001138A9">
        <w:t xml:space="preserve"> recording KT activities undertaken on any given review</w:t>
      </w:r>
      <w:r w:rsidR="00EB27FD">
        <w:t>,</w:t>
      </w:r>
      <w:r w:rsidR="00AE5C89" w:rsidRPr="001138A9">
        <w:t xml:space="preserve"> so that others </w:t>
      </w:r>
      <w:r w:rsidR="008250AC">
        <w:t xml:space="preserve">interested in supporting the dissemination and use of a </w:t>
      </w:r>
      <w:r w:rsidR="00AE5C89" w:rsidRPr="001138A9">
        <w:t xml:space="preserve">review can take advantage </w:t>
      </w:r>
      <w:r w:rsidR="008250AC">
        <w:t>of the work and avoid duplicating</w:t>
      </w:r>
      <w:r w:rsidR="00AE5C89" w:rsidRPr="001138A9">
        <w:t xml:space="preserve"> effort</w:t>
      </w:r>
      <w:r w:rsidR="008250AC">
        <w:t>. This would allow</w:t>
      </w:r>
      <w:r w:rsidR="00AE5C89" w:rsidRPr="001138A9">
        <w:t xml:space="preserve"> the </w:t>
      </w:r>
      <w:r w:rsidR="00EB27FD">
        <w:t xml:space="preserve">relevant </w:t>
      </w:r>
      <w:r w:rsidR="00AE5C89" w:rsidRPr="001138A9">
        <w:t>CRG</w:t>
      </w:r>
      <w:r w:rsidR="0069358A" w:rsidRPr="001138A9">
        <w:t xml:space="preserve"> and </w:t>
      </w:r>
      <w:r w:rsidR="008250AC">
        <w:t xml:space="preserve">the review </w:t>
      </w:r>
      <w:r w:rsidR="0069358A" w:rsidRPr="001138A9">
        <w:t>authors</w:t>
      </w:r>
      <w:r w:rsidR="00AE5C89" w:rsidRPr="001138A9">
        <w:t xml:space="preserve"> </w:t>
      </w:r>
      <w:r w:rsidR="00C12B5D">
        <w:t>to</w:t>
      </w:r>
      <w:r w:rsidR="00C12B5D" w:rsidRPr="001138A9">
        <w:t xml:space="preserve"> </w:t>
      </w:r>
      <w:r w:rsidR="00CE2E9E">
        <w:t>see how the review has been used.</w:t>
      </w:r>
      <w:r w:rsidR="00AE5C89" w:rsidRPr="001138A9">
        <w:t xml:space="preserve"> </w:t>
      </w:r>
      <w:r w:rsidR="00C12B5D">
        <w:t>It</w:t>
      </w:r>
      <w:r w:rsidR="00C12B5D" w:rsidRPr="001138A9">
        <w:t xml:space="preserve"> </w:t>
      </w:r>
      <w:r w:rsidR="00AE5C89" w:rsidRPr="001138A9">
        <w:t xml:space="preserve">would involve sharing details of </w:t>
      </w:r>
      <w:r w:rsidR="00A30E18" w:rsidRPr="001138A9">
        <w:t xml:space="preserve">the </w:t>
      </w:r>
      <w:r w:rsidR="00AE5C89" w:rsidRPr="001138A9">
        <w:t xml:space="preserve">KT undertaken and </w:t>
      </w:r>
      <w:r w:rsidR="00C12B5D">
        <w:t xml:space="preserve">ensuring that </w:t>
      </w:r>
      <w:r w:rsidR="00AE5C89" w:rsidRPr="001138A9">
        <w:t xml:space="preserve">links to outputs and materials can be reused. </w:t>
      </w:r>
      <w:r w:rsidR="00A21A24">
        <w:t>To d</w:t>
      </w:r>
      <w:r w:rsidR="00C12B5D">
        <w:t>o this we need to develop</w:t>
      </w:r>
      <w:r w:rsidR="00C12B5D" w:rsidRPr="001138A9">
        <w:t xml:space="preserve"> </w:t>
      </w:r>
      <w:r w:rsidR="005D3BFB" w:rsidRPr="001138A9">
        <w:t>workflow tools that allow</w:t>
      </w:r>
      <w:r w:rsidR="0055694F">
        <w:t>s</w:t>
      </w:r>
      <w:r w:rsidR="005D3BFB" w:rsidRPr="001138A9">
        <w:t xml:space="preserve"> those interested in undertaking KT on a review to create a workflow around this which </w:t>
      </w:r>
      <w:r w:rsidR="00E1274F" w:rsidRPr="001138A9">
        <w:t xml:space="preserve">could </w:t>
      </w:r>
      <w:r w:rsidR="005D3BFB" w:rsidRPr="001138A9">
        <w:t xml:space="preserve">then alert those involved when it is time to initiate KT </w:t>
      </w:r>
      <w:r w:rsidR="00CE2E9E">
        <w:t>tasks</w:t>
      </w:r>
      <w:r w:rsidR="00FD61D5" w:rsidRPr="001138A9">
        <w:t xml:space="preserve">. </w:t>
      </w:r>
      <w:r w:rsidR="00792E2C" w:rsidRPr="001138A9">
        <w:t xml:space="preserve">This support system could lead to </w:t>
      </w:r>
      <w:r w:rsidR="00D51CD0">
        <w:t xml:space="preserve">improved transparency and communication, </w:t>
      </w:r>
      <w:r w:rsidR="00792E2C" w:rsidRPr="001138A9">
        <w:t xml:space="preserve">better collaboration and </w:t>
      </w:r>
      <w:r w:rsidR="00E1274F" w:rsidRPr="001138A9">
        <w:t>the opportunity</w:t>
      </w:r>
      <w:r w:rsidR="00792E2C" w:rsidRPr="001138A9">
        <w:t xml:space="preserve"> to have a more integrated approach to KT.</w:t>
      </w:r>
      <w:r w:rsidR="004463AA" w:rsidRPr="001138A9">
        <w:t xml:space="preserve"> </w:t>
      </w:r>
      <w:r w:rsidR="00600DA1">
        <w:t xml:space="preserve">This infrastructure is also proposed as part of the </w:t>
      </w:r>
      <w:r w:rsidR="00985B7B">
        <w:t>KT Strategy</w:t>
      </w:r>
      <w:r w:rsidR="00600DA1">
        <w:t xml:space="preserve"> as it is not specific to the needs of Fields. </w:t>
      </w:r>
    </w:p>
    <w:p w:rsidR="00464B0D" w:rsidRPr="007660B1" w:rsidRDefault="00464B0D" w:rsidP="006F1CD5">
      <w:pPr>
        <w:pStyle w:val="Headings2"/>
      </w:pPr>
      <w:r w:rsidRPr="007660B1">
        <w:t>Fields and review production</w:t>
      </w:r>
    </w:p>
    <w:p w:rsidR="00464B0D" w:rsidRPr="007660B1" w:rsidRDefault="00600DA1" w:rsidP="006F1CD5">
      <w:pPr>
        <w:pStyle w:val="BodyText"/>
      </w:pPr>
      <w:r>
        <w:t>Primary r</w:t>
      </w:r>
      <w:r w:rsidR="00610BB5">
        <w:t>esponsibility for review production</w:t>
      </w:r>
      <w:r w:rsidR="00464B0D" w:rsidRPr="007660B1">
        <w:t xml:space="preserve"> </w:t>
      </w:r>
      <w:r w:rsidR="00610BB5">
        <w:t xml:space="preserve">sits with </w:t>
      </w:r>
      <w:r w:rsidR="00F636C3">
        <w:t xml:space="preserve">Cochrane </w:t>
      </w:r>
      <w:r w:rsidR="00610BB5">
        <w:t xml:space="preserve">Review Groups and will continue to do so. </w:t>
      </w:r>
      <w:r w:rsidR="00464B0D" w:rsidRPr="007660B1">
        <w:t xml:space="preserve">However, there may be times when a Field, through its stakeholder engagement work, identifies </w:t>
      </w:r>
      <w:r w:rsidR="00327115">
        <w:t>priority topics</w:t>
      </w:r>
      <w:r w:rsidR="00327115" w:rsidRPr="007660B1">
        <w:t xml:space="preserve"> </w:t>
      </w:r>
      <w:r w:rsidR="00464B0D" w:rsidRPr="007660B1">
        <w:t xml:space="preserve">for Cochrane reviews that no CRG is </w:t>
      </w:r>
      <w:r w:rsidR="00327115">
        <w:t>willing or able to support</w:t>
      </w:r>
      <w:r w:rsidR="00464B0D" w:rsidRPr="007660B1">
        <w:t xml:space="preserve">. </w:t>
      </w:r>
    </w:p>
    <w:p w:rsidR="00464B0D" w:rsidRPr="007660B1" w:rsidRDefault="00464B0D" w:rsidP="006F1CD5">
      <w:pPr>
        <w:pStyle w:val="BodyText"/>
      </w:pPr>
      <w:r w:rsidRPr="00DD1243">
        <w:t>In line with the Centres</w:t>
      </w:r>
      <w:r w:rsidR="00F978B4" w:rsidRPr="00DD1243">
        <w:t>’</w:t>
      </w:r>
      <w:r w:rsidRPr="00DD1243">
        <w:t xml:space="preserve"> </w:t>
      </w:r>
      <w:hyperlink r:id="rId18" w:history="1">
        <w:r w:rsidR="00DD1243" w:rsidRPr="00DD1243">
          <w:rPr>
            <w:rStyle w:val="Hyperlink"/>
          </w:rPr>
          <w:t>Structure and Function Review paper</w:t>
        </w:r>
      </w:hyperlink>
      <w:r w:rsidRPr="00DD1243">
        <w:t xml:space="preserve">, we </w:t>
      </w:r>
      <w:r w:rsidR="00F978B4" w:rsidRPr="00DD1243">
        <w:t xml:space="preserve">think </w:t>
      </w:r>
      <w:r w:rsidRPr="00DD1243">
        <w:t>that there should be more</w:t>
      </w:r>
      <w:r w:rsidRPr="007660B1">
        <w:t xml:space="preserve"> flexibility in the role of Fields</w:t>
      </w:r>
      <w:r w:rsidR="00576F24">
        <w:t>,</w:t>
      </w:r>
      <w:r w:rsidRPr="007660B1">
        <w:t xml:space="preserve"> and</w:t>
      </w:r>
      <w:r w:rsidR="007C72D4">
        <w:t xml:space="preserve"> </w:t>
      </w:r>
      <w:r w:rsidRPr="007660B1">
        <w:t xml:space="preserve">Fields should be able to take advantage of the introduction of new editorial process options, most notably the </w:t>
      </w:r>
      <w:r w:rsidR="00DD1243">
        <w:t xml:space="preserve">fast track editorial </w:t>
      </w:r>
      <w:r w:rsidRPr="007660B1">
        <w:t>submission channel</w:t>
      </w:r>
      <w:r w:rsidR="00DD1243">
        <w:t xml:space="preserve"> for high quality reviews</w:t>
      </w:r>
      <w:r w:rsidR="00D500C7">
        <w:rPr>
          <w:rStyle w:val="FootnoteReference"/>
        </w:rPr>
        <w:footnoteReference w:id="2"/>
      </w:r>
      <w:r w:rsidRPr="007660B1">
        <w:t>.</w:t>
      </w:r>
    </w:p>
    <w:p w:rsidR="00464B0D" w:rsidRPr="007660B1" w:rsidRDefault="00464B0D" w:rsidP="006F1CD5">
      <w:pPr>
        <w:pStyle w:val="BodyText"/>
      </w:pPr>
      <w:r w:rsidRPr="007660B1">
        <w:t xml:space="preserve">If a Field wishes to take on the author support for a title that has not been prioritised by a CRG then this should be allowed </w:t>
      </w:r>
      <w:r w:rsidR="007C72D4" w:rsidRPr="007660B1">
        <w:t>if</w:t>
      </w:r>
      <w:r w:rsidRPr="007660B1">
        <w:t xml:space="preserve"> certain criteria are met</w:t>
      </w:r>
      <w:r w:rsidR="00531282">
        <w:t>. F</w:t>
      </w:r>
      <w:r w:rsidRPr="007660B1">
        <w:t>irst</w:t>
      </w:r>
      <w:r w:rsidR="00F636C3">
        <w:t>:</w:t>
      </w:r>
      <w:r w:rsidRPr="007660B1">
        <w:t xml:space="preserve"> there must be a clear need for the </w:t>
      </w:r>
      <w:r w:rsidR="00EB27FD">
        <w:t>r</w:t>
      </w:r>
      <w:r w:rsidR="00EB27FD" w:rsidRPr="007660B1">
        <w:t>eview</w:t>
      </w:r>
      <w:r w:rsidR="00531282">
        <w:t>;</w:t>
      </w:r>
      <w:r w:rsidRPr="007660B1">
        <w:t xml:space="preserve"> Second</w:t>
      </w:r>
      <w:r w:rsidR="00F636C3">
        <w:t>:</w:t>
      </w:r>
      <w:r w:rsidRPr="007660B1">
        <w:t xml:space="preserve"> the opportunity to register and support such a title should be offered to relevant CRGs </w:t>
      </w:r>
      <w:r w:rsidR="00057B13" w:rsidRPr="007660B1">
        <w:t>first</w:t>
      </w:r>
      <w:r w:rsidR="00F978B4">
        <w:t>,</w:t>
      </w:r>
      <w:r w:rsidR="00057B13" w:rsidRPr="007660B1">
        <w:t xml:space="preserve"> </w:t>
      </w:r>
      <w:r w:rsidR="00057B13">
        <w:t>with</w:t>
      </w:r>
      <w:r w:rsidR="00327115">
        <w:t xml:space="preserve"> the Field taking forward the </w:t>
      </w:r>
      <w:r w:rsidR="00EB27FD">
        <w:t xml:space="preserve">review </w:t>
      </w:r>
      <w:r w:rsidR="00327115">
        <w:t>on</w:t>
      </w:r>
      <w:r w:rsidR="00D500C7">
        <w:t>ly on</w:t>
      </w:r>
      <w:r w:rsidR="00327115">
        <w:t>ce these CRGs have declined to take it on</w:t>
      </w:r>
      <w:r w:rsidRPr="007660B1">
        <w:t>.</w:t>
      </w:r>
    </w:p>
    <w:p w:rsidR="00464B0D" w:rsidRPr="007660B1" w:rsidRDefault="00E5751F" w:rsidP="006F1CD5">
      <w:pPr>
        <w:pStyle w:val="BodyText"/>
      </w:pPr>
      <w:r>
        <w:t>Wh</w:t>
      </w:r>
      <w:r w:rsidR="00140178">
        <w:t xml:space="preserve">ere there is </w:t>
      </w:r>
      <w:r w:rsidR="00464B0D" w:rsidRPr="007660B1">
        <w:t xml:space="preserve">no CRG willing to support an author team to undertake the </w:t>
      </w:r>
      <w:r w:rsidR="00F978B4">
        <w:t>R</w:t>
      </w:r>
      <w:r w:rsidR="00464B0D" w:rsidRPr="007660B1">
        <w:t>eview</w:t>
      </w:r>
      <w:r w:rsidR="00F636C3">
        <w:t>,</w:t>
      </w:r>
      <w:r w:rsidR="00464B0D" w:rsidRPr="007660B1">
        <w:t xml:space="preserve"> and there is clear evidence that the topic is high </w:t>
      </w:r>
      <w:r w:rsidR="007660B1" w:rsidRPr="007660B1">
        <w:t>priority</w:t>
      </w:r>
      <w:r w:rsidR="00464B0D" w:rsidRPr="007660B1">
        <w:t xml:space="preserve">, then there are two suggested approaches that </w:t>
      </w:r>
      <w:r w:rsidR="00140178">
        <w:t xml:space="preserve">the Field </w:t>
      </w:r>
      <w:r w:rsidR="00464B0D" w:rsidRPr="007660B1">
        <w:t xml:space="preserve">could follow. </w:t>
      </w:r>
    </w:p>
    <w:p w:rsidR="00464B0D" w:rsidRPr="007660B1" w:rsidRDefault="00464B0D" w:rsidP="006F1CD5">
      <w:pPr>
        <w:pStyle w:val="BodyText"/>
        <w:numPr>
          <w:ilvl w:val="0"/>
          <w:numId w:val="4"/>
        </w:numPr>
        <w:spacing w:after="0"/>
        <w:ind w:left="425" w:hanging="425"/>
      </w:pPr>
      <w:r w:rsidRPr="007660B1">
        <w:t xml:space="preserve">A Field establishes a partnership with a relevant CRG </w:t>
      </w:r>
      <w:r w:rsidR="007C72D4" w:rsidRPr="007660B1">
        <w:t>to produce</w:t>
      </w:r>
      <w:r w:rsidRPr="007660B1">
        <w:t xml:space="preserve"> that </w:t>
      </w:r>
      <w:r w:rsidR="00EB27FD">
        <w:t>r</w:t>
      </w:r>
      <w:r w:rsidR="00EB27FD" w:rsidRPr="007660B1">
        <w:t>eview</w:t>
      </w:r>
      <w:r w:rsidRPr="007660B1">
        <w:t>. The Field agrees to take on all responsibility for author support and initial checking of MECIR standards. All the CRG commit</w:t>
      </w:r>
      <w:r w:rsidR="00114352">
        <w:t>s</w:t>
      </w:r>
      <w:r w:rsidRPr="007660B1">
        <w:t xml:space="preserve"> to do would be to </w:t>
      </w:r>
      <w:r w:rsidR="00F531AC">
        <w:t>manage the</w:t>
      </w:r>
      <w:r w:rsidR="00F531AC" w:rsidRPr="007660B1">
        <w:t xml:space="preserve"> </w:t>
      </w:r>
      <w:r w:rsidR="00CF1315" w:rsidRPr="007660B1">
        <w:t>peer review</w:t>
      </w:r>
      <w:r w:rsidR="00F531AC">
        <w:t xml:space="preserve"> process</w:t>
      </w:r>
      <w:r w:rsidR="00CF1315" w:rsidRPr="007660B1">
        <w:t>, sign off</w:t>
      </w:r>
      <w:r w:rsidR="00F978B4">
        <w:t>,</w:t>
      </w:r>
      <w:r w:rsidR="00CF1315" w:rsidRPr="007660B1">
        <w:t xml:space="preserve"> and </w:t>
      </w:r>
      <w:r w:rsidR="00F636C3">
        <w:t>publish</w:t>
      </w:r>
      <w:r w:rsidR="00CF1315" w:rsidRPr="007660B1">
        <w:t xml:space="preserve"> the </w:t>
      </w:r>
      <w:r w:rsidR="00EB27FD">
        <w:t>p</w:t>
      </w:r>
      <w:r w:rsidR="00EB27FD" w:rsidRPr="007660B1">
        <w:t xml:space="preserve">rotocol </w:t>
      </w:r>
      <w:r w:rsidR="00CF1315" w:rsidRPr="007660B1">
        <w:t xml:space="preserve">and </w:t>
      </w:r>
      <w:r w:rsidR="00EB27FD">
        <w:t>r</w:t>
      </w:r>
      <w:r w:rsidR="00EB27FD" w:rsidRPr="007660B1">
        <w:t>eview</w:t>
      </w:r>
      <w:r w:rsidRPr="007660B1">
        <w:t>.</w:t>
      </w:r>
    </w:p>
    <w:p w:rsidR="00CF1315" w:rsidRPr="007660B1" w:rsidRDefault="00464B0D" w:rsidP="006F1CD5">
      <w:pPr>
        <w:pStyle w:val="BodyText"/>
        <w:numPr>
          <w:ilvl w:val="0"/>
          <w:numId w:val="4"/>
        </w:numPr>
        <w:ind w:left="426" w:hanging="426"/>
      </w:pPr>
      <w:r w:rsidRPr="007660B1">
        <w:t xml:space="preserve">A Field is unable to find a partner CRG </w:t>
      </w:r>
      <w:r w:rsidR="00327115">
        <w:t>which</w:t>
      </w:r>
      <w:r w:rsidR="00327115" w:rsidRPr="007660B1">
        <w:t xml:space="preserve"> </w:t>
      </w:r>
      <w:r w:rsidRPr="007660B1">
        <w:t xml:space="preserve">is interested in the </w:t>
      </w:r>
      <w:r w:rsidR="00EB27FD">
        <w:t>r</w:t>
      </w:r>
      <w:r w:rsidR="00EB27FD" w:rsidRPr="007660B1">
        <w:t>eview</w:t>
      </w:r>
      <w:r w:rsidRPr="007660B1">
        <w:t xml:space="preserve">, so they proceed with the </w:t>
      </w:r>
      <w:r w:rsidR="00F978B4">
        <w:t>R</w:t>
      </w:r>
      <w:r w:rsidRPr="007660B1">
        <w:t xml:space="preserve">eview, but publish the protocol externally, in </w:t>
      </w:r>
      <w:r w:rsidR="00F978B4">
        <w:t>PROSPERO</w:t>
      </w:r>
      <w:r w:rsidRPr="007660B1">
        <w:t xml:space="preserve"> for example</w:t>
      </w:r>
      <w:r w:rsidR="00CF1315" w:rsidRPr="007660B1">
        <w:t>. O</w:t>
      </w:r>
      <w:r w:rsidRPr="007660B1">
        <w:t xml:space="preserve">nce the review is complete they use the proposed </w:t>
      </w:r>
      <w:r w:rsidR="00140178">
        <w:t xml:space="preserve">fast track editorial system to </w:t>
      </w:r>
      <w:r w:rsidRPr="007660B1">
        <w:t>submit the completed</w:t>
      </w:r>
      <w:r w:rsidR="00CF1315" w:rsidRPr="007660B1">
        <w:t>, high quality</w:t>
      </w:r>
      <w:r w:rsidRPr="007660B1">
        <w:t xml:space="preserve"> </w:t>
      </w:r>
      <w:r w:rsidR="00EB27FD">
        <w:t>r</w:t>
      </w:r>
      <w:r w:rsidR="00EB27FD" w:rsidRPr="007660B1">
        <w:t>eview</w:t>
      </w:r>
      <w:r w:rsidRPr="007660B1">
        <w:t>.</w:t>
      </w:r>
    </w:p>
    <w:p w:rsidR="00464B0D" w:rsidRDefault="00464B0D" w:rsidP="006F1CD5">
      <w:pPr>
        <w:pStyle w:val="BodyText"/>
      </w:pPr>
      <w:r w:rsidRPr="007660B1">
        <w:t xml:space="preserve">If Fields wish to undertake this role they must be able to demonstrate to the </w:t>
      </w:r>
      <w:r w:rsidR="00DF0672" w:rsidRPr="007660B1">
        <w:t>Editor</w:t>
      </w:r>
      <w:r w:rsidR="00DF0672">
        <w:t>-</w:t>
      </w:r>
      <w:r w:rsidR="00DF0672" w:rsidRPr="007660B1">
        <w:t>in</w:t>
      </w:r>
      <w:r w:rsidR="00DF0672">
        <w:t>-</w:t>
      </w:r>
      <w:r w:rsidRPr="007660B1">
        <w:t xml:space="preserve">Chief that they have the resources and skills available to provide author support which leads to consistent, </w:t>
      </w:r>
      <w:r w:rsidR="00DF0672" w:rsidRPr="007660B1">
        <w:t>high</w:t>
      </w:r>
      <w:r w:rsidR="00DF0672">
        <w:t>-</w:t>
      </w:r>
      <w:r w:rsidRPr="007660B1">
        <w:t>quality submissions to the CRGs.</w:t>
      </w:r>
      <w:r w:rsidR="00F978B4">
        <w:t xml:space="preserve"> </w:t>
      </w:r>
      <w:r w:rsidR="00CF1315" w:rsidRPr="007660B1">
        <w:t>The above</w:t>
      </w:r>
      <w:r w:rsidRPr="007660B1">
        <w:t xml:space="preserve"> process is indicative only</w:t>
      </w:r>
      <w:r w:rsidR="00AA7999">
        <w:t xml:space="preserve"> at this stage, as the fast track process </w:t>
      </w:r>
      <w:r w:rsidR="00F636C3">
        <w:t xml:space="preserve">is now being piloted </w:t>
      </w:r>
      <w:r w:rsidR="00AA7999">
        <w:t>and we do not know how it will be configured ultimately</w:t>
      </w:r>
      <w:r w:rsidR="00A97EC0">
        <w:t>. We will also take into consideration other proposed ideas such as an editorial group to support Fields review production. W</w:t>
      </w:r>
      <w:r w:rsidR="00AA7999">
        <w:t>e wish to support</w:t>
      </w:r>
      <w:r w:rsidR="00A97EC0">
        <w:t xml:space="preserve"> the idea that Fields can produce reviews where their stakeholders demand it, so we will continue to explore the most appropriate way to achieve this</w:t>
      </w:r>
      <w:r w:rsidR="00F869F1">
        <w:t>, but this is dependent on elements of the CRG transformation programme</w:t>
      </w:r>
      <w:r w:rsidR="00A97EC0">
        <w:t xml:space="preserve">. </w:t>
      </w:r>
    </w:p>
    <w:p w:rsidR="004463AA" w:rsidRPr="007660B1" w:rsidRDefault="00F636C3" w:rsidP="004C06FF">
      <w:pPr>
        <w:pStyle w:val="Headings2"/>
      </w:pPr>
      <w:r>
        <w:t>A change of name</w:t>
      </w:r>
      <w:r w:rsidR="004463AA" w:rsidRPr="007660B1">
        <w:t>?</w:t>
      </w:r>
    </w:p>
    <w:p w:rsidR="003211FA" w:rsidRPr="001138A9" w:rsidRDefault="00140178" w:rsidP="00333C67">
      <w:pPr>
        <w:pStyle w:val="BodyText"/>
      </w:pPr>
      <w:r>
        <w:t>W</w:t>
      </w:r>
      <w:r w:rsidR="00F978B4">
        <w:t>e know that the term ‘</w:t>
      </w:r>
      <w:r w:rsidR="00F978B4" w:rsidRPr="004573D2">
        <w:t>Fields</w:t>
      </w:r>
      <w:r w:rsidR="00F978B4">
        <w:t>’</w:t>
      </w:r>
      <w:r w:rsidR="00F978B4" w:rsidRPr="004573D2">
        <w:t xml:space="preserve"> has </w:t>
      </w:r>
      <w:r w:rsidR="00694073">
        <w:t>no</w:t>
      </w:r>
      <w:r w:rsidR="00694073" w:rsidRPr="004573D2">
        <w:t xml:space="preserve"> </w:t>
      </w:r>
      <w:r w:rsidR="00F978B4" w:rsidRPr="004573D2">
        <w:t>external validity</w:t>
      </w:r>
      <w:r w:rsidR="00694073">
        <w:t>: those outside Cochrane do not understand the term and how this relates to what these Cochrane Groups do</w:t>
      </w:r>
      <w:r w:rsidR="00F978B4" w:rsidRPr="004573D2">
        <w:t xml:space="preserve">. </w:t>
      </w:r>
      <w:r w:rsidR="00F978B4">
        <w:t>Recent</w:t>
      </w:r>
      <w:r w:rsidR="00DB0F0D" w:rsidRPr="001138A9">
        <w:t xml:space="preserve"> branding changes have </w:t>
      </w:r>
      <w:r w:rsidR="00F978B4">
        <w:t>helped overcome this challenge to some degree: f</w:t>
      </w:r>
      <w:r w:rsidR="00DB0F0D" w:rsidRPr="001138A9">
        <w:t xml:space="preserve">or </w:t>
      </w:r>
      <w:r w:rsidR="00057B13" w:rsidRPr="001138A9">
        <w:t>example,</w:t>
      </w:r>
      <w:r w:rsidR="00DB0F0D" w:rsidRPr="001138A9">
        <w:t xml:space="preserve"> the Child Health Field ha</w:t>
      </w:r>
      <w:r w:rsidR="00F978B4">
        <w:t>s</w:t>
      </w:r>
      <w:r w:rsidR="00DB0F0D" w:rsidRPr="001138A9">
        <w:t xml:space="preserve"> become </w:t>
      </w:r>
      <w:r w:rsidR="00F978B4">
        <w:t>‘</w:t>
      </w:r>
      <w:r w:rsidR="00DB0F0D" w:rsidRPr="001138A9">
        <w:t>Cochrane Child Health</w:t>
      </w:r>
      <w:r w:rsidR="00F978B4">
        <w:t>’</w:t>
      </w:r>
      <w:r w:rsidR="00DB0F0D" w:rsidRPr="001138A9">
        <w:t>.</w:t>
      </w:r>
      <w:r w:rsidR="009965BA">
        <w:t xml:space="preserve"> </w:t>
      </w:r>
      <w:r w:rsidR="00694073">
        <w:t xml:space="preserve">This approach should be standardised across existing and future ‘Fields’. For the purposes of </w:t>
      </w:r>
      <w:r w:rsidR="005E4F29">
        <w:t>organizational and functional description, however, we still need a name for the ‘Fields’ structural grouping, and we favour</w:t>
      </w:r>
      <w:r w:rsidR="009965BA">
        <w:t xml:space="preserve"> bring</w:t>
      </w:r>
      <w:r w:rsidR="005E4F29">
        <w:t>ing</w:t>
      </w:r>
      <w:r w:rsidR="009965BA">
        <w:t xml:space="preserve"> </w:t>
      </w:r>
      <w:r w:rsidR="005E4F29">
        <w:t>‘</w:t>
      </w:r>
      <w:r w:rsidR="009965BA">
        <w:t>knowledge translation</w:t>
      </w:r>
      <w:r w:rsidR="005E4F29">
        <w:t>’</w:t>
      </w:r>
      <w:r w:rsidR="009965BA">
        <w:t xml:space="preserve"> formally into the name to give a clearer indication of th</w:t>
      </w:r>
      <w:r w:rsidR="005E4F29">
        <w:t>is pre-eminent</w:t>
      </w:r>
      <w:r w:rsidR="009965BA">
        <w:t xml:space="preserve"> role </w:t>
      </w:r>
      <w:r w:rsidR="005E4F29">
        <w:t xml:space="preserve">within </w:t>
      </w:r>
      <w:r w:rsidR="009965BA">
        <w:t>the</w:t>
      </w:r>
      <w:r w:rsidR="005E4F29">
        <w:t>se</w:t>
      </w:r>
      <w:r w:rsidR="009965BA">
        <w:t xml:space="preserve"> Groups.</w:t>
      </w:r>
      <w:r w:rsidR="003211FA">
        <w:t xml:space="preserve"> We therefore propose ‘Knowledge Translation Groups’ or ‘Knowledge Translation Networks’ as the new descriptive term for Fields.</w:t>
      </w:r>
    </w:p>
    <w:p w:rsidR="00114352" w:rsidRDefault="00720B93" w:rsidP="006F1CD5">
      <w:pPr>
        <w:pStyle w:val="PagesBodytext"/>
        <w:spacing w:after="120" w:line="240" w:lineRule="auto"/>
        <w:jc w:val="both"/>
        <w:rPr>
          <w:sz w:val="22"/>
        </w:rPr>
      </w:pPr>
      <w:r>
        <w:rPr>
          <w:sz w:val="22"/>
        </w:rPr>
        <w:t xml:space="preserve">We anticipate that </w:t>
      </w:r>
      <w:r w:rsidR="00636AAC">
        <w:rPr>
          <w:sz w:val="22"/>
        </w:rPr>
        <w:t>G</w:t>
      </w:r>
      <w:r>
        <w:rPr>
          <w:sz w:val="22"/>
        </w:rPr>
        <w:t xml:space="preserve">roups in geographic networks who are explicitly focussed on KT </w:t>
      </w:r>
      <w:r w:rsidR="00694073">
        <w:rPr>
          <w:sz w:val="22"/>
        </w:rPr>
        <w:t xml:space="preserve">and working with topic- or audience-based ‘Fields’ </w:t>
      </w:r>
      <w:r>
        <w:rPr>
          <w:sz w:val="22"/>
        </w:rPr>
        <w:t xml:space="preserve">will </w:t>
      </w:r>
      <w:r w:rsidR="00636AAC">
        <w:rPr>
          <w:sz w:val="22"/>
        </w:rPr>
        <w:t>continue to be called</w:t>
      </w:r>
      <w:r>
        <w:rPr>
          <w:sz w:val="22"/>
        </w:rPr>
        <w:t xml:space="preserve"> Affiliates or Associate Centres</w:t>
      </w:r>
      <w:r w:rsidR="003211FA">
        <w:rPr>
          <w:sz w:val="22"/>
        </w:rPr>
        <w:t xml:space="preserve">, as they exist within a geographic-oriented framework of accountability (and see the Structure and Function Review for geographic-oriented Cochrane Groups for more details). </w:t>
      </w:r>
    </w:p>
    <w:p w:rsidR="002035ED" w:rsidRDefault="004C06FF" w:rsidP="002035ED">
      <w:pPr>
        <w:pStyle w:val="Heading1"/>
      </w:pPr>
      <w:bookmarkStart w:id="7" w:name="_Toc476132576"/>
      <w:r>
        <w:tab/>
      </w:r>
      <w:r w:rsidR="002035ED">
        <w:t xml:space="preserve">Accountability and </w:t>
      </w:r>
      <w:r w:rsidR="00333C67">
        <w:t>G</w:t>
      </w:r>
      <w:r w:rsidR="002035ED">
        <w:t>overnance</w:t>
      </w:r>
      <w:bookmarkEnd w:id="7"/>
    </w:p>
    <w:p w:rsidR="002035ED" w:rsidRDefault="002035ED" w:rsidP="004C06FF">
      <w:pPr>
        <w:pStyle w:val="Headings2"/>
      </w:pPr>
      <w:bookmarkStart w:id="8" w:name="_Toc430613479"/>
      <w:r>
        <w:t>Lines of accountability</w:t>
      </w:r>
      <w:bookmarkEnd w:id="8"/>
      <w:r>
        <w:t xml:space="preserve"> </w:t>
      </w:r>
    </w:p>
    <w:p w:rsidR="002035ED" w:rsidRDefault="007E5CC7" w:rsidP="00333C67">
      <w:pPr>
        <w:pStyle w:val="BodyText"/>
      </w:pPr>
      <w:r>
        <w:t xml:space="preserve">Establishing </w:t>
      </w:r>
      <w:r w:rsidR="002035ED">
        <w:t xml:space="preserve">clear lines of accountability throughout Cochrane </w:t>
      </w:r>
      <w:r>
        <w:t xml:space="preserve">for our knowledge translation activities </w:t>
      </w:r>
      <w:r w:rsidR="002035ED">
        <w:t xml:space="preserve">is critically important. </w:t>
      </w:r>
      <w:r w:rsidR="007C72D4">
        <w:t xml:space="preserve"> </w:t>
      </w:r>
      <w:r w:rsidR="00486190">
        <w:t>Fields report to the CEO for their KT activities; and Centres – who will play such an important role in KT at a geographic level - also report to the CEO, as does the Central Executive’s Communications &amp; External Affairs Department</w:t>
      </w:r>
      <w:r w:rsidR="00194438">
        <w:t>,</w:t>
      </w:r>
      <w:r w:rsidR="00486190">
        <w:t xml:space="preserve"> which will play a </w:t>
      </w:r>
      <w:r w:rsidR="00304599">
        <w:t>key</w:t>
      </w:r>
      <w:r w:rsidR="00486190">
        <w:t xml:space="preserve"> role in facilitating and supporting Cochrane’s KT activities around the world. </w:t>
      </w:r>
      <w:r w:rsidR="00333C67">
        <w:t>We intend, initially, to continue the existing lines of accountability but to review them as the KT Strategy is implemented and as Fields (or whatever these Groups are to be called) increase their integration and work with CRGs.</w:t>
      </w:r>
    </w:p>
    <w:p w:rsidR="002035ED" w:rsidRPr="003215A8" w:rsidRDefault="002035ED" w:rsidP="004C06FF">
      <w:pPr>
        <w:pStyle w:val="Headings2"/>
      </w:pPr>
      <w:bookmarkStart w:id="9" w:name="_Toc430613480"/>
      <w:r>
        <w:t>Strategic plans and succession planning</w:t>
      </w:r>
      <w:bookmarkEnd w:id="9"/>
    </w:p>
    <w:p w:rsidR="002035ED" w:rsidRDefault="00495FED" w:rsidP="00531282">
      <w:pPr>
        <w:pStyle w:val="BodyText"/>
      </w:pPr>
      <w:r>
        <w:rPr>
          <w:color w:val="000000" w:themeColor="text1"/>
        </w:rPr>
        <w:t xml:space="preserve">Fields </w:t>
      </w:r>
      <w:r w:rsidR="002035ED" w:rsidRPr="001F7872">
        <w:rPr>
          <w:color w:val="000000" w:themeColor="text1"/>
        </w:rPr>
        <w:t xml:space="preserve">of all sizes should have a strategic plan built </w:t>
      </w:r>
      <w:r w:rsidR="00333C67">
        <w:rPr>
          <w:color w:val="000000" w:themeColor="text1"/>
        </w:rPr>
        <w:t>around</w:t>
      </w:r>
      <w:r w:rsidR="00333C67" w:rsidRPr="001F7872">
        <w:rPr>
          <w:color w:val="000000" w:themeColor="text1"/>
        </w:rPr>
        <w:t xml:space="preserve"> </w:t>
      </w:r>
      <w:r w:rsidR="002035ED" w:rsidRPr="001F7872">
        <w:rPr>
          <w:color w:val="000000" w:themeColor="text1"/>
        </w:rPr>
        <w:t xml:space="preserve">the </w:t>
      </w:r>
      <w:r>
        <w:rPr>
          <w:color w:val="000000" w:themeColor="text1"/>
        </w:rPr>
        <w:t xml:space="preserve">KT </w:t>
      </w:r>
      <w:r w:rsidR="002035ED" w:rsidRPr="001F7872">
        <w:rPr>
          <w:color w:val="000000" w:themeColor="text1"/>
        </w:rPr>
        <w:t xml:space="preserve">functions </w:t>
      </w:r>
      <w:r>
        <w:rPr>
          <w:color w:val="000000" w:themeColor="text1"/>
        </w:rPr>
        <w:t>and audiences they plan to serve</w:t>
      </w:r>
      <w:r w:rsidR="00194438">
        <w:rPr>
          <w:color w:val="000000" w:themeColor="text1"/>
        </w:rPr>
        <w:t>,</w:t>
      </w:r>
      <w:r>
        <w:rPr>
          <w:color w:val="000000" w:themeColor="text1"/>
        </w:rPr>
        <w:t xml:space="preserve"> </w:t>
      </w:r>
      <w:r w:rsidR="002035ED" w:rsidRPr="001F7872">
        <w:rPr>
          <w:color w:val="000000" w:themeColor="text1"/>
        </w:rPr>
        <w:t xml:space="preserve">which will be used to assess performance. This should be a multi-year strategy with annually updated targets representing activities </w:t>
      </w:r>
      <w:r w:rsidR="002035ED">
        <w:t>planned in each given year. The strategy and each annual update on activities should be submitted to the Central Executive to a defined schedule to be agreed.</w:t>
      </w:r>
      <w:r w:rsidR="00531282">
        <w:t xml:space="preserve"> </w:t>
      </w:r>
      <w:r w:rsidR="002035ED">
        <w:t xml:space="preserve">As part of the strategic plan for the </w:t>
      </w:r>
      <w:r>
        <w:t xml:space="preserve">Field </w:t>
      </w:r>
      <w:r w:rsidR="002035ED">
        <w:t>there should also be a succession plan which details what the Group is doing to develop future leaders.</w:t>
      </w:r>
    </w:p>
    <w:p w:rsidR="002035ED" w:rsidRDefault="002035ED" w:rsidP="004C06FF">
      <w:pPr>
        <w:pStyle w:val="Headings2"/>
      </w:pPr>
      <w:bookmarkStart w:id="10" w:name="_Toc430613481"/>
      <w:r>
        <w:t>Existing and future policies and processes</w:t>
      </w:r>
      <w:bookmarkEnd w:id="10"/>
    </w:p>
    <w:p w:rsidR="007657DA" w:rsidRDefault="007657DA" w:rsidP="002035ED">
      <w:pPr>
        <w:pStyle w:val="BodyText"/>
      </w:pPr>
      <w:r>
        <w:t>Fields, like a</w:t>
      </w:r>
      <w:r w:rsidR="00772D4C">
        <w:t>ll Cochrane Groups</w:t>
      </w:r>
      <w:r>
        <w:t>,</w:t>
      </w:r>
      <w:r w:rsidR="00772D4C">
        <w:t xml:space="preserve"> are expected to adhere to Cochrane policies and processes. </w:t>
      </w:r>
      <w:r w:rsidR="00B911CE">
        <w:t xml:space="preserve">These are available on our website: </w:t>
      </w:r>
      <w:hyperlink r:id="rId19" w:history="1">
        <w:r w:rsidR="00B911CE" w:rsidRPr="0091484B">
          <w:rPr>
            <w:rStyle w:val="Hyperlink"/>
          </w:rPr>
          <w:t>http://community.cochrane.org/organizational-info/resources/policies</w:t>
        </w:r>
      </w:hyperlink>
      <w:r w:rsidR="00B911CE">
        <w:t xml:space="preserve"> </w:t>
      </w:r>
    </w:p>
    <w:p w:rsidR="002035ED" w:rsidRDefault="00E67A99" w:rsidP="004C06FF">
      <w:pPr>
        <w:pStyle w:val="Headings2"/>
      </w:pPr>
      <w:r>
        <w:t>Advisory bodies</w:t>
      </w:r>
    </w:p>
    <w:p w:rsidR="00E67A99" w:rsidRDefault="00E67A99" w:rsidP="002035ED">
      <w:pPr>
        <w:pStyle w:val="BodyText"/>
      </w:pPr>
      <w:r>
        <w:t>The new Cochrane Editorial Board has a position for a leader in knowledge translation and that person will need to be linked in with all the Groups undertaking KT in the organisation</w:t>
      </w:r>
      <w:r w:rsidR="00194438">
        <w:t>,</w:t>
      </w:r>
      <w:r>
        <w:t xml:space="preserve"> as well as potentially supported by a KT advisory group. </w:t>
      </w:r>
    </w:p>
    <w:p w:rsidR="002035ED" w:rsidRDefault="001F76A9" w:rsidP="002035ED">
      <w:pPr>
        <w:pStyle w:val="BodyText"/>
      </w:pPr>
      <w:r>
        <w:t xml:space="preserve">The Cochrane Council </w:t>
      </w:r>
      <w:r w:rsidR="00E67A99">
        <w:t xml:space="preserve">and Governing Board </w:t>
      </w:r>
      <w:r>
        <w:t xml:space="preserve">will be considering the future of the Group </w:t>
      </w:r>
      <w:r w:rsidR="00E67A99">
        <w:t>E</w:t>
      </w:r>
      <w:r>
        <w:t>xecutives</w:t>
      </w:r>
      <w:r w:rsidR="00064B63">
        <w:t xml:space="preserve">. </w:t>
      </w:r>
      <w:r w:rsidR="00E67A99">
        <w:t>I</w:t>
      </w:r>
      <w:r w:rsidR="00064B63">
        <w:t>t is likely that the Fields Exec</w:t>
      </w:r>
      <w:r w:rsidR="00E67A99">
        <w:t>utive</w:t>
      </w:r>
      <w:r w:rsidR="00064B63">
        <w:t xml:space="preserve"> will need to evolve as many more KT Groups emerge in the country networks. </w:t>
      </w:r>
      <w:r w:rsidR="00E67A99">
        <w:t xml:space="preserve">It will also need to respond to the need for greater linkages between Fields, Centres and CRGs as the </w:t>
      </w:r>
      <w:r w:rsidR="00985B7B">
        <w:t>KT Strategy</w:t>
      </w:r>
      <w:r w:rsidR="00E67A99">
        <w:t xml:space="preserve"> is implemented. The </w:t>
      </w:r>
      <w:r w:rsidR="00541167">
        <w:t xml:space="preserve">newly-formed </w:t>
      </w:r>
      <w:r w:rsidR="00E67A99">
        <w:t xml:space="preserve">representative Council will be an initial step in promoting these linkages. </w:t>
      </w:r>
    </w:p>
    <w:p w:rsidR="002035ED" w:rsidRDefault="002035ED" w:rsidP="004C06FF">
      <w:pPr>
        <w:pStyle w:val="Headings2"/>
      </w:pPr>
      <w:bookmarkStart w:id="11" w:name="_Toc430613483"/>
      <w:r>
        <w:t>Memorandum of Understanding (MOU)</w:t>
      </w:r>
      <w:bookmarkEnd w:id="11"/>
    </w:p>
    <w:p w:rsidR="00E30E94" w:rsidRDefault="002035ED" w:rsidP="002035ED">
      <w:pPr>
        <w:pStyle w:val="BodyText"/>
        <w:rPr>
          <w:color w:val="000000" w:themeColor="text1"/>
        </w:rPr>
      </w:pPr>
      <w:r w:rsidRPr="001F7872">
        <w:rPr>
          <w:color w:val="000000" w:themeColor="text1"/>
        </w:rPr>
        <w:t xml:space="preserve">For this accountability structure to work we propose to set up MOUs with </w:t>
      </w:r>
      <w:r w:rsidR="00F27BCD">
        <w:rPr>
          <w:color w:val="000000" w:themeColor="text1"/>
        </w:rPr>
        <w:t>Fields</w:t>
      </w:r>
      <w:r w:rsidR="00F27BCD" w:rsidRPr="001F7872">
        <w:rPr>
          <w:color w:val="000000" w:themeColor="text1"/>
        </w:rPr>
        <w:t xml:space="preserve"> </w:t>
      </w:r>
      <w:r w:rsidRPr="001F7872">
        <w:rPr>
          <w:color w:val="000000" w:themeColor="text1"/>
        </w:rPr>
        <w:t>that will be routinely re-assessed (at least once every five years)</w:t>
      </w:r>
      <w:r w:rsidR="00E30E94">
        <w:rPr>
          <w:color w:val="000000" w:themeColor="text1"/>
        </w:rPr>
        <w:t>. The purpose of these MOUs is to establish clear mutual accountabilit</w:t>
      </w:r>
      <w:r w:rsidR="00531282">
        <w:rPr>
          <w:color w:val="000000" w:themeColor="text1"/>
        </w:rPr>
        <w:t>ies</w:t>
      </w:r>
      <w:r w:rsidR="00E30E94">
        <w:rPr>
          <w:color w:val="000000" w:themeColor="text1"/>
        </w:rPr>
        <w:t xml:space="preserve"> and to outline the support that Fields will receive from the Central Executive Team so that they feel empowered to undertake their Cochrane role effectively. </w:t>
      </w:r>
    </w:p>
    <w:p w:rsidR="002035ED" w:rsidRDefault="002035ED" w:rsidP="004C06FF">
      <w:pPr>
        <w:pStyle w:val="Headings2"/>
      </w:pPr>
      <w:bookmarkStart w:id="12" w:name="_Toc430613484"/>
      <w:r>
        <w:t>Probation period</w:t>
      </w:r>
      <w:bookmarkEnd w:id="12"/>
    </w:p>
    <w:p w:rsidR="002035ED" w:rsidRDefault="002035ED" w:rsidP="002035ED">
      <w:pPr>
        <w:pStyle w:val="BodyText"/>
      </w:pPr>
      <w:r>
        <w:t xml:space="preserve">Setting up a new Cochrane Group is a challenging task, and it is also a significant responsibility to be part of Cochrane’s global presence. </w:t>
      </w:r>
      <w:r w:rsidR="007C72D4">
        <w:t>Because of</w:t>
      </w:r>
      <w:r>
        <w:t xml:space="preserve"> this we will introduce a probation system whereby </w:t>
      </w:r>
      <w:r w:rsidR="003B3B4C">
        <w:t xml:space="preserve">all </w:t>
      </w:r>
      <w:r>
        <w:t>new Groups are assessed after one year to ensure that they are progressing as expected in their plans</w:t>
      </w:r>
      <w:r w:rsidR="00531282">
        <w:t xml:space="preserve"> and that they </w:t>
      </w:r>
      <w:r w:rsidR="002A2F0F">
        <w:t>are accessing</w:t>
      </w:r>
      <w:r>
        <w:t xml:space="preserve"> the support and mentorship they require to succeed.</w:t>
      </w:r>
    </w:p>
    <w:p w:rsidR="00AA1A16" w:rsidRPr="0074633A" w:rsidRDefault="00AA1A16" w:rsidP="00FF5D8B">
      <w:pPr>
        <w:pStyle w:val="PagesBodytext"/>
        <w:spacing w:after="100" w:line="340" w:lineRule="exact"/>
      </w:pPr>
    </w:p>
    <w:sectPr w:rsidR="00AA1A16" w:rsidRPr="0074633A" w:rsidSect="004E7EB8">
      <w:type w:val="continuous"/>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7F" w:rsidRDefault="00731C7F" w:rsidP="001440A0">
      <w:r>
        <w:separator/>
      </w:r>
    </w:p>
  </w:endnote>
  <w:endnote w:type="continuationSeparator" w:id="0">
    <w:p w:rsidR="00731C7F" w:rsidRDefault="00731C7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ource Sans Pro Semibold">
    <w:panose1 w:val="020B0603030403020204"/>
    <w:charset w:val="00"/>
    <w:family w:val="auto"/>
    <w:pitch w:val="variable"/>
    <w:sig w:usb0="600002F7" w:usb1="02000001" w:usb2="00000000" w:usb3="00000000" w:csb0="0000019F" w:csb1="00000000"/>
  </w:font>
  <w:font w:name="Source Sans Pro">
    <w:panose1 w:val="020B0503030403020204"/>
    <w:charset w:val="00"/>
    <w:family w:val="auto"/>
    <w:pitch w:val="variable"/>
    <w:sig w:usb0="600002F7" w:usb1="02000001"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6A" w:rsidRPr="001440A0" w:rsidRDefault="000C7B6A" w:rsidP="001440A0">
    <w:pP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rsidR="000C7B6A" w:rsidRPr="001440A0" w:rsidRDefault="000C7B6A" w:rsidP="001440A0">
    <w:pPr>
      <w:spacing w:line="320" w:lineRule="exact"/>
      <w:rPr>
        <w:color w:val="002D64" w:themeColor="text2"/>
        <w:sz w:val="30"/>
        <w:szCs w:val="30"/>
      </w:rPr>
    </w:pPr>
    <w:r w:rsidRPr="001440A0">
      <w:rPr>
        <w:color w:val="002D64" w:themeColor="text2"/>
        <w:sz w:val="30"/>
        <w:szCs w:val="30"/>
      </w:rPr>
      <w:t>Informed decisions.</w:t>
    </w:r>
  </w:p>
  <w:p w:rsidR="000C7B6A" w:rsidRPr="001440A0" w:rsidRDefault="000C7B6A" w:rsidP="001440A0">
    <w:pPr>
      <w:spacing w:line="320" w:lineRule="exact"/>
      <w:rPr>
        <w:color w:val="962D91" w:themeColor="background2"/>
        <w:sz w:val="30"/>
        <w:szCs w:val="30"/>
      </w:rPr>
    </w:pPr>
    <w:r w:rsidRPr="001440A0">
      <w:rPr>
        <w:color w:val="962D91" w:themeColor="background2"/>
        <w:sz w:val="30"/>
        <w:szCs w:val="30"/>
      </w:rPr>
      <w:t>Better health.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6F" w:rsidRPr="001440A0" w:rsidRDefault="00CE316F" w:rsidP="001440A0">
    <w:pPr>
      <w:spacing w:line="320" w:lineRule="exact"/>
      <w:rPr>
        <w:color w:val="962D91" w:themeColor="background2"/>
        <w:sz w:val="30"/>
        <w:szCs w:val="3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7F" w:rsidRDefault="00731C7F" w:rsidP="001440A0">
      <w:r>
        <w:separator/>
      </w:r>
    </w:p>
  </w:footnote>
  <w:footnote w:type="continuationSeparator" w:id="0">
    <w:p w:rsidR="00731C7F" w:rsidRDefault="00731C7F" w:rsidP="001440A0">
      <w:r>
        <w:continuationSeparator/>
      </w:r>
    </w:p>
  </w:footnote>
  <w:footnote w:id="1">
    <w:p w:rsidR="00694073" w:rsidRPr="008216F0" w:rsidRDefault="00694073">
      <w:pPr>
        <w:pStyle w:val="FootnoteText"/>
        <w:rPr>
          <w:rFonts w:asciiTheme="majorHAnsi" w:hAnsiTheme="majorHAnsi"/>
          <w:sz w:val="20"/>
        </w:rPr>
      </w:pPr>
      <w:r>
        <w:rPr>
          <w:rStyle w:val="FootnoteReference"/>
        </w:rPr>
        <w:footnoteRef/>
      </w:r>
      <w:r>
        <w:t xml:space="preserve"> </w:t>
      </w:r>
      <w:r>
        <w:rPr>
          <w:rFonts w:asciiTheme="majorHAnsi" w:hAnsiTheme="majorHAnsi"/>
          <w:sz w:val="20"/>
        </w:rPr>
        <w:t>The Cochrane KT S</w:t>
      </w:r>
      <w:r w:rsidRPr="008216F0">
        <w:rPr>
          <w:rFonts w:asciiTheme="majorHAnsi" w:hAnsiTheme="majorHAnsi"/>
          <w:sz w:val="20"/>
        </w:rPr>
        <w:t xml:space="preserve">trategy will be presented to the Cochrane Board in Geneva, April 2017. The paper will be available open access on the KT pages of the community site when it is finalised: </w:t>
      </w:r>
      <w:hyperlink r:id="rId1" w:history="1">
        <w:r w:rsidRPr="00684FDF">
          <w:rPr>
            <w:rStyle w:val="Hyperlink"/>
            <w:rFonts w:asciiTheme="majorHAnsi" w:hAnsiTheme="majorHAnsi"/>
            <w:sz w:val="20"/>
          </w:rPr>
          <w:t>http://community.cochrane.org/review-production/dissemination-resources/knowledge-translation-strategy</w:t>
        </w:r>
      </w:hyperlink>
      <w:r>
        <w:rPr>
          <w:rFonts w:asciiTheme="majorHAnsi" w:hAnsiTheme="majorHAnsi"/>
          <w:sz w:val="20"/>
        </w:rPr>
        <w:t xml:space="preserve"> </w:t>
      </w:r>
    </w:p>
  </w:footnote>
  <w:footnote w:id="2">
    <w:p w:rsidR="00694073" w:rsidRDefault="00694073">
      <w:pPr>
        <w:pStyle w:val="FootnoteText"/>
      </w:pPr>
      <w:r>
        <w:rPr>
          <w:rStyle w:val="FootnoteReference"/>
        </w:rPr>
        <w:footnoteRef/>
      </w:r>
      <w:r>
        <w:t xml:space="preserve"> </w:t>
      </w:r>
      <w:r w:rsidRPr="00D500C7">
        <w:rPr>
          <w:rFonts w:asciiTheme="majorHAnsi" w:hAnsiTheme="majorHAnsi"/>
          <w:sz w:val="20"/>
        </w:rPr>
        <w:t>http://community.cochrane.org/review-production/production-resources/fast-track-editorial-process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6A" w:rsidRDefault="000C7B6A">
    <w:r>
      <w:rPr>
        <w:noProof/>
        <w:lang w:eastAsia="en-GB"/>
      </w:rPr>
      <w:drawing>
        <wp:inline distT="0" distB="0" distL="0" distR="0" wp14:anchorId="4F485B0A" wp14:editId="25D96567">
          <wp:extent cx="3023622" cy="624841"/>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Pr="00C74BE0">
      <w:rPr>
        <w:noProof/>
        <w:color w:val="FFFFFF" w:themeColor="background1"/>
        <w:lang w:eastAsia="en-GB"/>
      </w:rPr>
      <w:drawing>
        <wp:anchor distT="0" distB="0" distL="114300" distR="114300" simplePos="0" relativeHeight="251661312" behindDoc="1" locked="1" layoutInCell="1" allowOverlap="1" wp14:anchorId="2013E0EF" wp14:editId="35A8F35D">
          <wp:simplePos x="0" y="0"/>
          <wp:positionH relativeFrom="column">
            <wp:posOffset>3500120</wp:posOffset>
          </wp:positionH>
          <wp:positionV relativeFrom="paragraph">
            <wp:posOffset>-426085</wp:posOffset>
          </wp:positionV>
          <wp:extent cx="3188335" cy="106914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73" w:rsidRPr="004A6B05" w:rsidRDefault="004A6B05" w:rsidP="004A6B05">
    <w:pPr>
      <w:pStyle w:val="Header"/>
    </w:pPr>
    <w:r>
      <w:t>OP</w:t>
    </w:r>
    <w:r w:rsidR="00CA13CB">
      <w:t xml:space="preserve">EN </w:t>
    </w:r>
    <w:r>
      <w:t>ACCESS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4B6"/>
    <w:multiLevelType w:val="hybridMultilevel"/>
    <w:tmpl w:val="92C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91C0A"/>
    <w:multiLevelType w:val="multilevel"/>
    <w:tmpl w:val="9E18738A"/>
    <w:lvl w:ilvl="0">
      <w:start w:val="1"/>
      <w:numFmt w:val="decimal"/>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B178B"/>
    <w:multiLevelType w:val="hybridMultilevel"/>
    <w:tmpl w:val="AD8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40894"/>
    <w:multiLevelType w:val="hybridMultilevel"/>
    <w:tmpl w:val="48FEB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A7ED6"/>
    <w:multiLevelType w:val="hybridMultilevel"/>
    <w:tmpl w:val="39DE8DBA"/>
    <w:lvl w:ilvl="0" w:tplc="846819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0592C"/>
    <w:multiLevelType w:val="hybridMultilevel"/>
    <w:tmpl w:val="8EEC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07421"/>
    <w:multiLevelType w:val="hybridMultilevel"/>
    <w:tmpl w:val="F050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E022B"/>
    <w:multiLevelType w:val="hybridMultilevel"/>
    <w:tmpl w:val="A972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34C11"/>
    <w:multiLevelType w:val="hybridMultilevel"/>
    <w:tmpl w:val="EDE4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74E7E"/>
    <w:multiLevelType w:val="hybridMultilevel"/>
    <w:tmpl w:val="0D7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416F9"/>
    <w:multiLevelType w:val="hybridMultilevel"/>
    <w:tmpl w:val="FC8E8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826926"/>
    <w:multiLevelType w:val="multilevel"/>
    <w:tmpl w:val="15129478"/>
    <w:lvl w:ilvl="0">
      <w:start w:val="1"/>
      <w:numFmt w:val="decimal"/>
      <w:pStyle w:val="Heading1"/>
      <w:lvlText w:val="%1."/>
      <w:lvlJc w:val="left"/>
      <w:pPr>
        <w:ind w:left="360" w:hanging="360"/>
      </w:pPr>
    </w:lvl>
    <w:lvl w:ilvl="1">
      <w:start w:val="1"/>
      <w:numFmt w:val="decimal"/>
      <w:pStyle w:val="Heading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0F6C12"/>
    <w:multiLevelType w:val="hybridMultilevel"/>
    <w:tmpl w:val="69E8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377AA1"/>
    <w:multiLevelType w:val="hybridMultilevel"/>
    <w:tmpl w:val="7A5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8057B"/>
    <w:multiLevelType w:val="hybridMultilevel"/>
    <w:tmpl w:val="FC667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B5B63"/>
    <w:multiLevelType w:val="hybridMultilevel"/>
    <w:tmpl w:val="70B8A89E"/>
    <w:lvl w:ilvl="0" w:tplc="846819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752772"/>
    <w:multiLevelType w:val="hybridMultilevel"/>
    <w:tmpl w:val="D20EE08C"/>
    <w:lvl w:ilvl="0" w:tplc="1F06765C">
      <w:start w:val="1"/>
      <w:numFmt w:val="bullet"/>
      <w:lvlText w:val="•"/>
      <w:lvlJc w:val="left"/>
      <w:pPr>
        <w:tabs>
          <w:tab w:val="num" w:pos="720"/>
        </w:tabs>
        <w:ind w:left="720" w:hanging="360"/>
      </w:pPr>
      <w:rPr>
        <w:rFonts w:ascii="Arial" w:hAnsi="Arial" w:hint="default"/>
      </w:rPr>
    </w:lvl>
    <w:lvl w:ilvl="1" w:tplc="1E5CFD9E">
      <w:start w:val="1"/>
      <w:numFmt w:val="bullet"/>
      <w:lvlText w:val="•"/>
      <w:lvlJc w:val="left"/>
      <w:pPr>
        <w:tabs>
          <w:tab w:val="num" w:pos="1440"/>
        </w:tabs>
        <w:ind w:left="1440" w:hanging="360"/>
      </w:pPr>
      <w:rPr>
        <w:rFonts w:ascii="Arial" w:hAnsi="Arial" w:hint="default"/>
      </w:rPr>
    </w:lvl>
    <w:lvl w:ilvl="2" w:tplc="38B85752">
      <w:numFmt w:val="bullet"/>
      <w:lvlText w:val="o"/>
      <w:lvlJc w:val="left"/>
      <w:pPr>
        <w:tabs>
          <w:tab w:val="num" w:pos="2160"/>
        </w:tabs>
        <w:ind w:left="2160" w:hanging="360"/>
      </w:pPr>
      <w:rPr>
        <w:rFonts w:ascii="Courier New" w:hAnsi="Courier New" w:hint="default"/>
      </w:rPr>
    </w:lvl>
    <w:lvl w:ilvl="3" w:tplc="69C2B37C" w:tentative="1">
      <w:start w:val="1"/>
      <w:numFmt w:val="bullet"/>
      <w:lvlText w:val="•"/>
      <w:lvlJc w:val="left"/>
      <w:pPr>
        <w:tabs>
          <w:tab w:val="num" w:pos="2880"/>
        </w:tabs>
        <w:ind w:left="2880" w:hanging="360"/>
      </w:pPr>
      <w:rPr>
        <w:rFonts w:ascii="Arial" w:hAnsi="Arial" w:hint="default"/>
      </w:rPr>
    </w:lvl>
    <w:lvl w:ilvl="4" w:tplc="0B1CAA6C" w:tentative="1">
      <w:start w:val="1"/>
      <w:numFmt w:val="bullet"/>
      <w:lvlText w:val="•"/>
      <w:lvlJc w:val="left"/>
      <w:pPr>
        <w:tabs>
          <w:tab w:val="num" w:pos="3600"/>
        </w:tabs>
        <w:ind w:left="3600" w:hanging="360"/>
      </w:pPr>
      <w:rPr>
        <w:rFonts w:ascii="Arial" w:hAnsi="Arial" w:hint="default"/>
      </w:rPr>
    </w:lvl>
    <w:lvl w:ilvl="5" w:tplc="86E0C4C8" w:tentative="1">
      <w:start w:val="1"/>
      <w:numFmt w:val="bullet"/>
      <w:lvlText w:val="•"/>
      <w:lvlJc w:val="left"/>
      <w:pPr>
        <w:tabs>
          <w:tab w:val="num" w:pos="4320"/>
        </w:tabs>
        <w:ind w:left="4320" w:hanging="360"/>
      </w:pPr>
      <w:rPr>
        <w:rFonts w:ascii="Arial" w:hAnsi="Arial" w:hint="default"/>
      </w:rPr>
    </w:lvl>
    <w:lvl w:ilvl="6" w:tplc="E98C3606" w:tentative="1">
      <w:start w:val="1"/>
      <w:numFmt w:val="bullet"/>
      <w:lvlText w:val="•"/>
      <w:lvlJc w:val="left"/>
      <w:pPr>
        <w:tabs>
          <w:tab w:val="num" w:pos="5040"/>
        </w:tabs>
        <w:ind w:left="5040" w:hanging="360"/>
      </w:pPr>
      <w:rPr>
        <w:rFonts w:ascii="Arial" w:hAnsi="Arial" w:hint="default"/>
      </w:rPr>
    </w:lvl>
    <w:lvl w:ilvl="7" w:tplc="F2402BA0" w:tentative="1">
      <w:start w:val="1"/>
      <w:numFmt w:val="bullet"/>
      <w:lvlText w:val="•"/>
      <w:lvlJc w:val="left"/>
      <w:pPr>
        <w:tabs>
          <w:tab w:val="num" w:pos="5760"/>
        </w:tabs>
        <w:ind w:left="5760" w:hanging="360"/>
      </w:pPr>
      <w:rPr>
        <w:rFonts w:ascii="Arial" w:hAnsi="Arial" w:hint="default"/>
      </w:rPr>
    </w:lvl>
    <w:lvl w:ilvl="8" w:tplc="F306F87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2"/>
  </w:num>
  <w:num w:numId="4">
    <w:abstractNumId w:val="4"/>
  </w:num>
  <w:num w:numId="5">
    <w:abstractNumId w:val="10"/>
  </w:num>
  <w:num w:numId="6">
    <w:abstractNumId w:val="11"/>
  </w:num>
  <w:num w:numId="7">
    <w:abstractNumId w:val="15"/>
  </w:num>
  <w:num w:numId="8">
    <w:abstractNumId w:val="12"/>
  </w:num>
  <w:num w:numId="9">
    <w:abstractNumId w:val="9"/>
  </w:num>
  <w:num w:numId="10">
    <w:abstractNumId w:val="18"/>
  </w:num>
  <w:num w:numId="11">
    <w:abstractNumId w:val="3"/>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5"/>
  </w:num>
  <w:num w:numId="17">
    <w:abstractNumId w:val="17"/>
  </w:num>
  <w:num w:numId="18">
    <w:abstractNumId w:val="6"/>
  </w:num>
  <w:num w:numId="19">
    <w:abstractNumId w:val="7"/>
  </w:num>
  <w:num w:numId="20">
    <w:abstractNumId w:val="0"/>
  </w:num>
  <w:num w:numId="21">
    <w:abstractNumId w:val="12"/>
  </w:num>
  <w:num w:numId="22">
    <w:abstractNumId w:val="16"/>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ZA" w:vendorID="64" w:dllVersion="0" w:nlCheck="1" w:checkStyle="1"/>
  <w:activeWritingStyle w:appName="MSWord" w:lang="en-AU"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E8"/>
    <w:rsid w:val="00000489"/>
    <w:rsid w:val="00002C81"/>
    <w:rsid w:val="00002DDB"/>
    <w:rsid w:val="00002E8B"/>
    <w:rsid w:val="00005796"/>
    <w:rsid w:val="00005A27"/>
    <w:rsid w:val="00007269"/>
    <w:rsid w:val="00007D0F"/>
    <w:rsid w:val="000113A5"/>
    <w:rsid w:val="0001186D"/>
    <w:rsid w:val="00012723"/>
    <w:rsid w:val="00015B47"/>
    <w:rsid w:val="000201DA"/>
    <w:rsid w:val="00020688"/>
    <w:rsid w:val="00020C98"/>
    <w:rsid w:val="00022412"/>
    <w:rsid w:val="00022513"/>
    <w:rsid w:val="00025553"/>
    <w:rsid w:val="00025EB0"/>
    <w:rsid w:val="00031626"/>
    <w:rsid w:val="000346CD"/>
    <w:rsid w:val="00045301"/>
    <w:rsid w:val="000474F3"/>
    <w:rsid w:val="00047A24"/>
    <w:rsid w:val="000555FE"/>
    <w:rsid w:val="000573BA"/>
    <w:rsid w:val="00057B13"/>
    <w:rsid w:val="00064B63"/>
    <w:rsid w:val="00067470"/>
    <w:rsid w:val="0007616E"/>
    <w:rsid w:val="00076312"/>
    <w:rsid w:val="00082449"/>
    <w:rsid w:val="00084281"/>
    <w:rsid w:val="00085A03"/>
    <w:rsid w:val="00086FF7"/>
    <w:rsid w:val="00087ACC"/>
    <w:rsid w:val="00092A16"/>
    <w:rsid w:val="00093D59"/>
    <w:rsid w:val="000950FE"/>
    <w:rsid w:val="0009730C"/>
    <w:rsid w:val="000A44DA"/>
    <w:rsid w:val="000A4BE8"/>
    <w:rsid w:val="000A5738"/>
    <w:rsid w:val="000A6AA8"/>
    <w:rsid w:val="000A7CA1"/>
    <w:rsid w:val="000B16A2"/>
    <w:rsid w:val="000B2B1F"/>
    <w:rsid w:val="000B579D"/>
    <w:rsid w:val="000B67A0"/>
    <w:rsid w:val="000C0E80"/>
    <w:rsid w:val="000C7B6A"/>
    <w:rsid w:val="000D4432"/>
    <w:rsid w:val="000D5CBC"/>
    <w:rsid w:val="000D71B6"/>
    <w:rsid w:val="000E4423"/>
    <w:rsid w:val="000E71EA"/>
    <w:rsid w:val="000E77A8"/>
    <w:rsid w:val="000F23EF"/>
    <w:rsid w:val="000F64F4"/>
    <w:rsid w:val="000F755B"/>
    <w:rsid w:val="000F7AD5"/>
    <w:rsid w:val="00100B97"/>
    <w:rsid w:val="00101E5F"/>
    <w:rsid w:val="00102258"/>
    <w:rsid w:val="00106170"/>
    <w:rsid w:val="0011287A"/>
    <w:rsid w:val="0011299D"/>
    <w:rsid w:val="00112D87"/>
    <w:rsid w:val="001138A9"/>
    <w:rsid w:val="0011413C"/>
    <w:rsid w:val="00114352"/>
    <w:rsid w:val="0011557B"/>
    <w:rsid w:val="00115963"/>
    <w:rsid w:val="001168AF"/>
    <w:rsid w:val="0012304B"/>
    <w:rsid w:val="001329B4"/>
    <w:rsid w:val="00134CFE"/>
    <w:rsid w:val="00140178"/>
    <w:rsid w:val="00140241"/>
    <w:rsid w:val="0014043F"/>
    <w:rsid w:val="001407DE"/>
    <w:rsid w:val="00141AE3"/>
    <w:rsid w:val="001440A0"/>
    <w:rsid w:val="00144BBE"/>
    <w:rsid w:val="00144E36"/>
    <w:rsid w:val="001533F7"/>
    <w:rsid w:val="001561F1"/>
    <w:rsid w:val="00156615"/>
    <w:rsid w:val="00157F95"/>
    <w:rsid w:val="00163415"/>
    <w:rsid w:val="00164A0A"/>
    <w:rsid w:val="00166E07"/>
    <w:rsid w:val="001702E5"/>
    <w:rsid w:val="0017060D"/>
    <w:rsid w:val="00171912"/>
    <w:rsid w:val="00176753"/>
    <w:rsid w:val="001805E8"/>
    <w:rsid w:val="00186419"/>
    <w:rsid w:val="0018715B"/>
    <w:rsid w:val="00187307"/>
    <w:rsid w:val="001906A3"/>
    <w:rsid w:val="00191B80"/>
    <w:rsid w:val="00194438"/>
    <w:rsid w:val="001A040D"/>
    <w:rsid w:val="001A3011"/>
    <w:rsid w:val="001A3AA9"/>
    <w:rsid w:val="001A5912"/>
    <w:rsid w:val="001A6C76"/>
    <w:rsid w:val="001A6F89"/>
    <w:rsid w:val="001A7F49"/>
    <w:rsid w:val="001B0C74"/>
    <w:rsid w:val="001B1EFC"/>
    <w:rsid w:val="001B353C"/>
    <w:rsid w:val="001B6772"/>
    <w:rsid w:val="001B6CD0"/>
    <w:rsid w:val="001C10BB"/>
    <w:rsid w:val="001C3C87"/>
    <w:rsid w:val="001D1D18"/>
    <w:rsid w:val="001D3F96"/>
    <w:rsid w:val="001E1432"/>
    <w:rsid w:val="001E3672"/>
    <w:rsid w:val="001E3F92"/>
    <w:rsid w:val="001E6AFC"/>
    <w:rsid w:val="001E6FE5"/>
    <w:rsid w:val="001F5C06"/>
    <w:rsid w:val="001F6FC1"/>
    <w:rsid w:val="001F719F"/>
    <w:rsid w:val="001F76A9"/>
    <w:rsid w:val="00200C52"/>
    <w:rsid w:val="002035ED"/>
    <w:rsid w:val="00204F05"/>
    <w:rsid w:val="002055D6"/>
    <w:rsid w:val="00212BFE"/>
    <w:rsid w:val="00215439"/>
    <w:rsid w:val="002174C8"/>
    <w:rsid w:val="002177FD"/>
    <w:rsid w:val="00221898"/>
    <w:rsid w:val="00224FAC"/>
    <w:rsid w:val="002364C5"/>
    <w:rsid w:val="00236772"/>
    <w:rsid w:val="00241D85"/>
    <w:rsid w:val="00246B15"/>
    <w:rsid w:val="002614F0"/>
    <w:rsid w:val="00261904"/>
    <w:rsid w:val="00262945"/>
    <w:rsid w:val="0026597A"/>
    <w:rsid w:val="00270BF6"/>
    <w:rsid w:val="00271BD7"/>
    <w:rsid w:val="0027483C"/>
    <w:rsid w:val="002769C0"/>
    <w:rsid w:val="0028145C"/>
    <w:rsid w:val="00281F44"/>
    <w:rsid w:val="0028460E"/>
    <w:rsid w:val="00290335"/>
    <w:rsid w:val="002A0D2F"/>
    <w:rsid w:val="002A0D8B"/>
    <w:rsid w:val="002A14A2"/>
    <w:rsid w:val="002A2F0F"/>
    <w:rsid w:val="002A3A80"/>
    <w:rsid w:val="002A48B7"/>
    <w:rsid w:val="002A55E4"/>
    <w:rsid w:val="002A6365"/>
    <w:rsid w:val="002A6CA2"/>
    <w:rsid w:val="002A6EE3"/>
    <w:rsid w:val="002A7020"/>
    <w:rsid w:val="002B1F9B"/>
    <w:rsid w:val="002C00B0"/>
    <w:rsid w:val="002C0B44"/>
    <w:rsid w:val="002C3BEA"/>
    <w:rsid w:val="002D0030"/>
    <w:rsid w:val="002D0179"/>
    <w:rsid w:val="002D250E"/>
    <w:rsid w:val="002D5ABB"/>
    <w:rsid w:val="002D674B"/>
    <w:rsid w:val="002D6CD7"/>
    <w:rsid w:val="002E2333"/>
    <w:rsid w:val="002E2E44"/>
    <w:rsid w:val="002E572C"/>
    <w:rsid w:val="002E6177"/>
    <w:rsid w:val="002E6827"/>
    <w:rsid w:val="002F6285"/>
    <w:rsid w:val="002F71F2"/>
    <w:rsid w:val="00301327"/>
    <w:rsid w:val="00304414"/>
    <w:rsid w:val="00304599"/>
    <w:rsid w:val="00304920"/>
    <w:rsid w:val="003063DB"/>
    <w:rsid w:val="003074EA"/>
    <w:rsid w:val="00311C3E"/>
    <w:rsid w:val="00312703"/>
    <w:rsid w:val="003129F7"/>
    <w:rsid w:val="0031760C"/>
    <w:rsid w:val="003211FA"/>
    <w:rsid w:val="0032163E"/>
    <w:rsid w:val="0032684A"/>
    <w:rsid w:val="00326AB8"/>
    <w:rsid w:val="00327115"/>
    <w:rsid w:val="00333C67"/>
    <w:rsid w:val="00340168"/>
    <w:rsid w:val="0034036C"/>
    <w:rsid w:val="00340DBE"/>
    <w:rsid w:val="00345601"/>
    <w:rsid w:val="00346C2C"/>
    <w:rsid w:val="003477A5"/>
    <w:rsid w:val="003547C2"/>
    <w:rsid w:val="00361B98"/>
    <w:rsid w:val="00363881"/>
    <w:rsid w:val="00366715"/>
    <w:rsid w:val="00367C10"/>
    <w:rsid w:val="003709ED"/>
    <w:rsid w:val="00372D42"/>
    <w:rsid w:val="00375D1D"/>
    <w:rsid w:val="0037617D"/>
    <w:rsid w:val="00385DBE"/>
    <w:rsid w:val="0038612C"/>
    <w:rsid w:val="00391BCB"/>
    <w:rsid w:val="0039624B"/>
    <w:rsid w:val="00397122"/>
    <w:rsid w:val="003A1F15"/>
    <w:rsid w:val="003A4F1A"/>
    <w:rsid w:val="003A7474"/>
    <w:rsid w:val="003B3B4C"/>
    <w:rsid w:val="003B65CF"/>
    <w:rsid w:val="003B6FD7"/>
    <w:rsid w:val="003C0907"/>
    <w:rsid w:val="003C0B71"/>
    <w:rsid w:val="003C68BD"/>
    <w:rsid w:val="003C7227"/>
    <w:rsid w:val="003D0E16"/>
    <w:rsid w:val="003D24E5"/>
    <w:rsid w:val="003D264A"/>
    <w:rsid w:val="003D425E"/>
    <w:rsid w:val="003E0AA9"/>
    <w:rsid w:val="003E0B28"/>
    <w:rsid w:val="003E15F8"/>
    <w:rsid w:val="003E4DA7"/>
    <w:rsid w:val="003E7B87"/>
    <w:rsid w:val="003F1ECD"/>
    <w:rsid w:val="003F5601"/>
    <w:rsid w:val="003F58F2"/>
    <w:rsid w:val="004022F2"/>
    <w:rsid w:val="004109ED"/>
    <w:rsid w:val="00412767"/>
    <w:rsid w:val="00414597"/>
    <w:rsid w:val="004149D2"/>
    <w:rsid w:val="00414FE7"/>
    <w:rsid w:val="0041743C"/>
    <w:rsid w:val="00421D71"/>
    <w:rsid w:val="004242C7"/>
    <w:rsid w:val="004243E3"/>
    <w:rsid w:val="00424F11"/>
    <w:rsid w:val="00427608"/>
    <w:rsid w:val="004343D7"/>
    <w:rsid w:val="004353AA"/>
    <w:rsid w:val="004425F5"/>
    <w:rsid w:val="00443175"/>
    <w:rsid w:val="00443555"/>
    <w:rsid w:val="00444611"/>
    <w:rsid w:val="004463AA"/>
    <w:rsid w:val="00447E5D"/>
    <w:rsid w:val="004507DF"/>
    <w:rsid w:val="00452DEF"/>
    <w:rsid w:val="00456AA2"/>
    <w:rsid w:val="00464B0D"/>
    <w:rsid w:val="004650E7"/>
    <w:rsid w:val="00470223"/>
    <w:rsid w:val="0047236B"/>
    <w:rsid w:val="0048199E"/>
    <w:rsid w:val="00483235"/>
    <w:rsid w:val="00485A8E"/>
    <w:rsid w:val="00486190"/>
    <w:rsid w:val="00491ED1"/>
    <w:rsid w:val="00493D58"/>
    <w:rsid w:val="00493D71"/>
    <w:rsid w:val="00494448"/>
    <w:rsid w:val="00495FED"/>
    <w:rsid w:val="00497A93"/>
    <w:rsid w:val="004A0FFC"/>
    <w:rsid w:val="004A1FA7"/>
    <w:rsid w:val="004A37B7"/>
    <w:rsid w:val="004A3D6A"/>
    <w:rsid w:val="004A6B05"/>
    <w:rsid w:val="004B128A"/>
    <w:rsid w:val="004B3B9E"/>
    <w:rsid w:val="004B7A27"/>
    <w:rsid w:val="004C06FF"/>
    <w:rsid w:val="004C0879"/>
    <w:rsid w:val="004C2086"/>
    <w:rsid w:val="004C247B"/>
    <w:rsid w:val="004C3669"/>
    <w:rsid w:val="004D11D2"/>
    <w:rsid w:val="004D79D5"/>
    <w:rsid w:val="004D7D57"/>
    <w:rsid w:val="004E5F7C"/>
    <w:rsid w:val="004E757E"/>
    <w:rsid w:val="004E7773"/>
    <w:rsid w:val="004E7EB8"/>
    <w:rsid w:val="004F0AEB"/>
    <w:rsid w:val="004F0F67"/>
    <w:rsid w:val="004F104B"/>
    <w:rsid w:val="004F1458"/>
    <w:rsid w:val="004F152B"/>
    <w:rsid w:val="004F216B"/>
    <w:rsid w:val="004F5A0E"/>
    <w:rsid w:val="00501405"/>
    <w:rsid w:val="00510F05"/>
    <w:rsid w:val="00511BE7"/>
    <w:rsid w:val="00511D7E"/>
    <w:rsid w:val="005137D5"/>
    <w:rsid w:val="00515184"/>
    <w:rsid w:val="00515FC0"/>
    <w:rsid w:val="005269DA"/>
    <w:rsid w:val="005272E3"/>
    <w:rsid w:val="00527836"/>
    <w:rsid w:val="00531282"/>
    <w:rsid w:val="005403C6"/>
    <w:rsid w:val="00540BAD"/>
    <w:rsid w:val="00541167"/>
    <w:rsid w:val="005520FC"/>
    <w:rsid w:val="005544F0"/>
    <w:rsid w:val="0055462E"/>
    <w:rsid w:val="0055510C"/>
    <w:rsid w:val="0055597C"/>
    <w:rsid w:val="0055694F"/>
    <w:rsid w:val="0055732C"/>
    <w:rsid w:val="00561766"/>
    <w:rsid w:val="005618BB"/>
    <w:rsid w:val="00562279"/>
    <w:rsid w:val="00565BEC"/>
    <w:rsid w:val="00565E99"/>
    <w:rsid w:val="005663E1"/>
    <w:rsid w:val="00566696"/>
    <w:rsid w:val="00572A3A"/>
    <w:rsid w:val="00572E63"/>
    <w:rsid w:val="00575298"/>
    <w:rsid w:val="00576817"/>
    <w:rsid w:val="00576F24"/>
    <w:rsid w:val="00581B6F"/>
    <w:rsid w:val="005903F5"/>
    <w:rsid w:val="00590542"/>
    <w:rsid w:val="005911A9"/>
    <w:rsid w:val="00591F08"/>
    <w:rsid w:val="00594C4B"/>
    <w:rsid w:val="005A0214"/>
    <w:rsid w:val="005A13E6"/>
    <w:rsid w:val="005A6CB4"/>
    <w:rsid w:val="005A7C60"/>
    <w:rsid w:val="005B018F"/>
    <w:rsid w:val="005B159E"/>
    <w:rsid w:val="005B2351"/>
    <w:rsid w:val="005B3822"/>
    <w:rsid w:val="005B5CB5"/>
    <w:rsid w:val="005B710F"/>
    <w:rsid w:val="005C4BF5"/>
    <w:rsid w:val="005C519D"/>
    <w:rsid w:val="005D074B"/>
    <w:rsid w:val="005D2484"/>
    <w:rsid w:val="005D3BFB"/>
    <w:rsid w:val="005D6F14"/>
    <w:rsid w:val="005E11C4"/>
    <w:rsid w:val="005E15D8"/>
    <w:rsid w:val="005E1C4D"/>
    <w:rsid w:val="005E200B"/>
    <w:rsid w:val="005E478D"/>
    <w:rsid w:val="005E4F29"/>
    <w:rsid w:val="005E62AB"/>
    <w:rsid w:val="005F217F"/>
    <w:rsid w:val="005F25D7"/>
    <w:rsid w:val="005F2A93"/>
    <w:rsid w:val="005F5D80"/>
    <w:rsid w:val="005F6907"/>
    <w:rsid w:val="00600C27"/>
    <w:rsid w:val="00600DA1"/>
    <w:rsid w:val="006032A1"/>
    <w:rsid w:val="00604B05"/>
    <w:rsid w:val="00605AA6"/>
    <w:rsid w:val="00606D1F"/>
    <w:rsid w:val="0061087B"/>
    <w:rsid w:val="00610910"/>
    <w:rsid w:val="00610BB5"/>
    <w:rsid w:val="00613FD2"/>
    <w:rsid w:val="00615205"/>
    <w:rsid w:val="00615A71"/>
    <w:rsid w:val="0061797A"/>
    <w:rsid w:val="00617A5E"/>
    <w:rsid w:val="00620752"/>
    <w:rsid w:val="00620E6A"/>
    <w:rsid w:val="006301A1"/>
    <w:rsid w:val="0063041D"/>
    <w:rsid w:val="00631DAC"/>
    <w:rsid w:val="006360C7"/>
    <w:rsid w:val="006360D5"/>
    <w:rsid w:val="00636AAC"/>
    <w:rsid w:val="00640623"/>
    <w:rsid w:val="00640BE3"/>
    <w:rsid w:val="0064138A"/>
    <w:rsid w:val="006414CB"/>
    <w:rsid w:val="00641E8E"/>
    <w:rsid w:val="00650BCD"/>
    <w:rsid w:val="00652506"/>
    <w:rsid w:val="0065443E"/>
    <w:rsid w:val="00654FD1"/>
    <w:rsid w:val="006559A1"/>
    <w:rsid w:val="006563E7"/>
    <w:rsid w:val="00656595"/>
    <w:rsid w:val="00656677"/>
    <w:rsid w:val="0066091A"/>
    <w:rsid w:val="00666798"/>
    <w:rsid w:val="0067569E"/>
    <w:rsid w:val="0067600F"/>
    <w:rsid w:val="006810E5"/>
    <w:rsid w:val="0068394C"/>
    <w:rsid w:val="006854E8"/>
    <w:rsid w:val="0069358A"/>
    <w:rsid w:val="00694073"/>
    <w:rsid w:val="0069543C"/>
    <w:rsid w:val="00696324"/>
    <w:rsid w:val="006A0F90"/>
    <w:rsid w:val="006A1676"/>
    <w:rsid w:val="006A18E8"/>
    <w:rsid w:val="006A2554"/>
    <w:rsid w:val="006A3494"/>
    <w:rsid w:val="006A6D46"/>
    <w:rsid w:val="006B1473"/>
    <w:rsid w:val="006B147B"/>
    <w:rsid w:val="006B5B7D"/>
    <w:rsid w:val="006B6AA6"/>
    <w:rsid w:val="006C03FC"/>
    <w:rsid w:val="006C05FD"/>
    <w:rsid w:val="006C1149"/>
    <w:rsid w:val="006C6ADE"/>
    <w:rsid w:val="006C6AEE"/>
    <w:rsid w:val="006D16F9"/>
    <w:rsid w:val="006D1A11"/>
    <w:rsid w:val="006D3117"/>
    <w:rsid w:val="006D3E05"/>
    <w:rsid w:val="006D52C5"/>
    <w:rsid w:val="006D6AB5"/>
    <w:rsid w:val="006D763E"/>
    <w:rsid w:val="006E0FE8"/>
    <w:rsid w:val="006E1286"/>
    <w:rsid w:val="006E17B1"/>
    <w:rsid w:val="006E254B"/>
    <w:rsid w:val="006E29C6"/>
    <w:rsid w:val="006E7D39"/>
    <w:rsid w:val="006F1CD5"/>
    <w:rsid w:val="006F34BC"/>
    <w:rsid w:val="006F5749"/>
    <w:rsid w:val="006F61FF"/>
    <w:rsid w:val="006F7576"/>
    <w:rsid w:val="00704294"/>
    <w:rsid w:val="00705499"/>
    <w:rsid w:val="0070722A"/>
    <w:rsid w:val="00713B61"/>
    <w:rsid w:val="00720B93"/>
    <w:rsid w:val="0072391A"/>
    <w:rsid w:val="00723EAA"/>
    <w:rsid w:val="00725036"/>
    <w:rsid w:val="00725A8A"/>
    <w:rsid w:val="00730569"/>
    <w:rsid w:val="00731C7F"/>
    <w:rsid w:val="00733A48"/>
    <w:rsid w:val="00733D71"/>
    <w:rsid w:val="00736B6C"/>
    <w:rsid w:val="00744A19"/>
    <w:rsid w:val="0074633A"/>
    <w:rsid w:val="00746C8B"/>
    <w:rsid w:val="0074741F"/>
    <w:rsid w:val="00750195"/>
    <w:rsid w:val="00751B80"/>
    <w:rsid w:val="00751E28"/>
    <w:rsid w:val="00757D3B"/>
    <w:rsid w:val="00760070"/>
    <w:rsid w:val="007624B5"/>
    <w:rsid w:val="00762989"/>
    <w:rsid w:val="0076437B"/>
    <w:rsid w:val="007657DA"/>
    <w:rsid w:val="00765C4E"/>
    <w:rsid w:val="007660B1"/>
    <w:rsid w:val="007709E8"/>
    <w:rsid w:val="00770CEA"/>
    <w:rsid w:val="00772CDA"/>
    <w:rsid w:val="00772D4C"/>
    <w:rsid w:val="00774310"/>
    <w:rsid w:val="0077443E"/>
    <w:rsid w:val="00776BAE"/>
    <w:rsid w:val="00777109"/>
    <w:rsid w:val="00777627"/>
    <w:rsid w:val="00782065"/>
    <w:rsid w:val="00782FC6"/>
    <w:rsid w:val="00783361"/>
    <w:rsid w:val="0079078F"/>
    <w:rsid w:val="00792E2C"/>
    <w:rsid w:val="00794190"/>
    <w:rsid w:val="007944A2"/>
    <w:rsid w:val="007975DD"/>
    <w:rsid w:val="007A0886"/>
    <w:rsid w:val="007A2404"/>
    <w:rsid w:val="007A290B"/>
    <w:rsid w:val="007A449C"/>
    <w:rsid w:val="007A49CF"/>
    <w:rsid w:val="007A58FA"/>
    <w:rsid w:val="007A6DF6"/>
    <w:rsid w:val="007B03BC"/>
    <w:rsid w:val="007B2829"/>
    <w:rsid w:val="007B2DE0"/>
    <w:rsid w:val="007B4B0C"/>
    <w:rsid w:val="007B6E67"/>
    <w:rsid w:val="007C3EAE"/>
    <w:rsid w:val="007C72D4"/>
    <w:rsid w:val="007D1985"/>
    <w:rsid w:val="007D4105"/>
    <w:rsid w:val="007D570E"/>
    <w:rsid w:val="007D64FB"/>
    <w:rsid w:val="007D7FC4"/>
    <w:rsid w:val="007E0675"/>
    <w:rsid w:val="007E14BC"/>
    <w:rsid w:val="007E5CC7"/>
    <w:rsid w:val="007F0052"/>
    <w:rsid w:val="007F57ED"/>
    <w:rsid w:val="007F5BC6"/>
    <w:rsid w:val="0081105A"/>
    <w:rsid w:val="00811B1D"/>
    <w:rsid w:val="0081430E"/>
    <w:rsid w:val="00815DFC"/>
    <w:rsid w:val="00816A4B"/>
    <w:rsid w:val="00816C3D"/>
    <w:rsid w:val="0082111A"/>
    <w:rsid w:val="008216F0"/>
    <w:rsid w:val="008229C9"/>
    <w:rsid w:val="008250AC"/>
    <w:rsid w:val="00835AA8"/>
    <w:rsid w:val="00841B40"/>
    <w:rsid w:val="00842148"/>
    <w:rsid w:val="00843C6C"/>
    <w:rsid w:val="008449A4"/>
    <w:rsid w:val="008456D9"/>
    <w:rsid w:val="00850FEE"/>
    <w:rsid w:val="00853106"/>
    <w:rsid w:val="008541C3"/>
    <w:rsid w:val="00857338"/>
    <w:rsid w:val="0085744D"/>
    <w:rsid w:val="0086019D"/>
    <w:rsid w:val="008617D0"/>
    <w:rsid w:val="00861E93"/>
    <w:rsid w:val="0086259C"/>
    <w:rsid w:val="00864A47"/>
    <w:rsid w:val="00866060"/>
    <w:rsid w:val="00870836"/>
    <w:rsid w:val="00871B87"/>
    <w:rsid w:val="00873FC8"/>
    <w:rsid w:val="00874B2B"/>
    <w:rsid w:val="008753A0"/>
    <w:rsid w:val="00877AE7"/>
    <w:rsid w:val="00886C6C"/>
    <w:rsid w:val="008871D2"/>
    <w:rsid w:val="0089187E"/>
    <w:rsid w:val="00891CD4"/>
    <w:rsid w:val="008922A2"/>
    <w:rsid w:val="008A0C99"/>
    <w:rsid w:val="008A1C5E"/>
    <w:rsid w:val="008A2104"/>
    <w:rsid w:val="008A2CE2"/>
    <w:rsid w:val="008A5C10"/>
    <w:rsid w:val="008A7E6A"/>
    <w:rsid w:val="008B021B"/>
    <w:rsid w:val="008B3531"/>
    <w:rsid w:val="008C1EC8"/>
    <w:rsid w:val="008C2303"/>
    <w:rsid w:val="008C4004"/>
    <w:rsid w:val="008C62E5"/>
    <w:rsid w:val="008C6772"/>
    <w:rsid w:val="008C6C25"/>
    <w:rsid w:val="008D41D1"/>
    <w:rsid w:val="008E12CB"/>
    <w:rsid w:val="008E41E4"/>
    <w:rsid w:val="008E5A30"/>
    <w:rsid w:val="008F3F95"/>
    <w:rsid w:val="008F7E5E"/>
    <w:rsid w:val="009013E5"/>
    <w:rsid w:val="00903A1E"/>
    <w:rsid w:val="009046AD"/>
    <w:rsid w:val="00905179"/>
    <w:rsid w:val="009126EF"/>
    <w:rsid w:val="009128C8"/>
    <w:rsid w:val="00912A5A"/>
    <w:rsid w:val="00913535"/>
    <w:rsid w:val="0091473B"/>
    <w:rsid w:val="0091519A"/>
    <w:rsid w:val="00916423"/>
    <w:rsid w:val="00917296"/>
    <w:rsid w:val="009174D2"/>
    <w:rsid w:val="009232F3"/>
    <w:rsid w:val="00925F62"/>
    <w:rsid w:val="00927A88"/>
    <w:rsid w:val="00930972"/>
    <w:rsid w:val="00932CE3"/>
    <w:rsid w:val="0094600D"/>
    <w:rsid w:val="009478A9"/>
    <w:rsid w:val="0095112A"/>
    <w:rsid w:val="00952072"/>
    <w:rsid w:val="009632FB"/>
    <w:rsid w:val="00971190"/>
    <w:rsid w:val="0097680B"/>
    <w:rsid w:val="00977F39"/>
    <w:rsid w:val="0098140E"/>
    <w:rsid w:val="00983C77"/>
    <w:rsid w:val="00985B7B"/>
    <w:rsid w:val="00986E8B"/>
    <w:rsid w:val="00987227"/>
    <w:rsid w:val="009925ED"/>
    <w:rsid w:val="00994A64"/>
    <w:rsid w:val="009965BA"/>
    <w:rsid w:val="009A0171"/>
    <w:rsid w:val="009A0DE0"/>
    <w:rsid w:val="009A2733"/>
    <w:rsid w:val="009A4C8C"/>
    <w:rsid w:val="009A60F3"/>
    <w:rsid w:val="009B2129"/>
    <w:rsid w:val="009B47FC"/>
    <w:rsid w:val="009C31E5"/>
    <w:rsid w:val="009C4FAA"/>
    <w:rsid w:val="009C6181"/>
    <w:rsid w:val="009D1367"/>
    <w:rsid w:val="009D3BF4"/>
    <w:rsid w:val="009D7130"/>
    <w:rsid w:val="009E0948"/>
    <w:rsid w:val="009E12CD"/>
    <w:rsid w:val="009E308A"/>
    <w:rsid w:val="009E334F"/>
    <w:rsid w:val="009E41C1"/>
    <w:rsid w:val="009E521F"/>
    <w:rsid w:val="009E5CCB"/>
    <w:rsid w:val="009E5D4A"/>
    <w:rsid w:val="009E66E9"/>
    <w:rsid w:val="009E6CC2"/>
    <w:rsid w:val="009F0C81"/>
    <w:rsid w:val="009F0FF4"/>
    <w:rsid w:val="00A00E60"/>
    <w:rsid w:val="00A02273"/>
    <w:rsid w:val="00A0288A"/>
    <w:rsid w:val="00A03983"/>
    <w:rsid w:val="00A03BC5"/>
    <w:rsid w:val="00A03BDF"/>
    <w:rsid w:val="00A051CB"/>
    <w:rsid w:val="00A13E55"/>
    <w:rsid w:val="00A14CE0"/>
    <w:rsid w:val="00A21A24"/>
    <w:rsid w:val="00A230AD"/>
    <w:rsid w:val="00A23B80"/>
    <w:rsid w:val="00A26E3B"/>
    <w:rsid w:val="00A27050"/>
    <w:rsid w:val="00A272B3"/>
    <w:rsid w:val="00A27BBE"/>
    <w:rsid w:val="00A27E5E"/>
    <w:rsid w:val="00A30E18"/>
    <w:rsid w:val="00A313BC"/>
    <w:rsid w:val="00A31DC6"/>
    <w:rsid w:val="00A3270E"/>
    <w:rsid w:val="00A33112"/>
    <w:rsid w:val="00A33703"/>
    <w:rsid w:val="00A44852"/>
    <w:rsid w:val="00A47986"/>
    <w:rsid w:val="00A52630"/>
    <w:rsid w:val="00A5626C"/>
    <w:rsid w:val="00A63A87"/>
    <w:rsid w:val="00A63FD6"/>
    <w:rsid w:val="00A645EF"/>
    <w:rsid w:val="00A670E4"/>
    <w:rsid w:val="00A67B13"/>
    <w:rsid w:val="00A7079B"/>
    <w:rsid w:val="00A73ADC"/>
    <w:rsid w:val="00A73D47"/>
    <w:rsid w:val="00A81516"/>
    <w:rsid w:val="00A817D5"/>
    <w:rsid w:val="00A83EA1"/>
    <w:rsid w:val="00A911A8"/>
    <w:rsid w:val="00A91E93"/>
    <w:rsid w:val="00A92240"/>
    <w:rsid w:val="00A92A00"/>
    <w:rsid w:val="00A97EC0"/>
    <w:rsid w:val="00AA1A16"/>
    <w:rsid w:val="00AA1CDC"/>
    <w:rsid w:val="00AA5F76"/>
    <w:rsid w:val="00AA7999"/>
    <w:rsid w:val="00AA7D62"/>
    <w:rsid w:val="00AB491D"/>
    <w:rsid w:val="00AC14CF"/>
    <w:rsid w:val="00AC196A"/>
    <w:rsid w:val="00AC20F7"/>
    <w:rsid w:val="00AC2C4C"/>
    <w:rsid w:val="00AC4309"/>
    <w:rsid w:val="00AC5557"/>
    <w:rsid w:val="00AC67BA"/>
    <w:rsid w:val="00AD504F"/>
    <w:rsid w:val="00AD5281"/>
    <w:rsid w:val="00AD5C70"/>
    <w:rsid w:val="00AD63AB"/>
    <w:rsid w:val="00AD6B51"/>
    <w:rsid w:val="00AD6D83"/>
    <w:rsid w:val="00AD6E33"/>
    <w:rsid w:val="00AE0DB3"/>
    <w:rsid w:val="00AE3A6D"/>
    <w:rsid w:val="00AE5C89"/>
    <w:rsid w:val="00AF1549"/>
    <w:rsid w:val="00AF377B"/>
    <w:rsid w:val="00B0487C"/>
    <w:rsid w:val="00B056E9"/>
    <w:rsid w:val="00B05A9E"/>
    <w:rsid w:val="00B05B1D"/>
    <w:rsid w:val="00B06175"/>
    <w:rsid w:val="00B07B02"/>
    <w:rsid w:val="00B107F8"/>
    <w:rsid w:val="00B130B4"/>
    <w:rsid w:val="00B14C56"/>
    <w:rsid w:val="00B164BA"/>
    <w:rsid w:val="00B166D1"/>
    <w:rsid w:val="00B1773E"/>
    <w:rsid w:val="00B21FA4"/>
    <w:rsid w:val="00B22E87"/>
    <w:rsid w:val="00B30121"/>
    <w:rsid w:val="00B32010"/>
    <w:rsid w:val="00B3300C"/>
    <w:rsid w:val="00B342E7"/>
    <w:rsid w:val="00B35842"/>
    <w:rsid w:val="00B3591A"/>
    <w:rsid w:val="00B369A8"/>
    <w:rsid w:val="00B37A7C"/>
    <w:rsid w:val="00B415B9"/>
    <w:rsid w:val="00B4170B"/>
    <w:rsid w:val="00B41E5A"/>
    <w:rsid w:val="00B4594A"/>
    <w:rsid w:val="00B53CBD"/>
    <w:rsid w:val="00B61B52"/>
    <w:rsid w:val="00B62AF8"/>
    <w:rsid w:val="00B62DD7"/>
    <w:rsid w:val="00B641A5"/>
    <w:rsid w:val="00B6585F"/>
    <w:rsid w:val="00B66E3E"/>
    <w:rsid w:val="00B7085A"/>
    <w:rsid w:val="00B72668"/>
    <w:rsid w:val="00B74F7A"/>
    <w:rsid w:val="00B77171"/>
    <w:rsid w:val="00B80001"/>
    <w:rsid w:val="00B911CE"/>
    <w:rsid w:val="00B93C9A"/>
    <w:rsid w:val="00B97195"/>
    <w:rsid w:val="00BA1F14"/>
    <w:rsid w:val="00BA353D"/>
    <w:rsid w:val="00BA6510"/>
    <w:rsid w:val="00BA6617"/>
    <w:rsid w:val="00BA70E7"/>
    <w:rsid w:val="00BB0359"/>
    <w:rsid w:val="00BB4F30"/>
    <w:rsid w:val="00BB5BF3"/>
    <w:rsid w:val="00BB7389"/>
    <w:rsid w:val="00BC6661"/>
    <w:rsid w:val="00BD0923"/>
    <w:rsid w:val="00BD4DBB"/>
    <w:rsid w:val="00BD7CA9"/>
    <w:rsid w:val="00BD7CD6"/>
    <w:rsid w:val="00BE5701"/>
    <w:rsid w:val="00BE5E5A"/>
    <w:rsid w:val="00BE721E"/>
    <w:rsid w:val="00BF14F3"/>
    <w:rsid w:val="00BF2E4F"/>
    <w:rsid w:val="00BF3CA2"/>
    <w:rsid w:val="00BF618E"/>
    <w:rsid w:val="00C00F3D"/>
    <w:rsid w:val="00C01846"/>
    <w:rsid w:val="00C01CEE"/>
    <w:rsid w:val="00C10F5F"/>
    <w:rsid w:val="00C12B5D"/>
    <w:rsid w:val="00C17017"/>
    <w:rsid w:val="00C2004C"/>
    <w:rsid w:val="00C23817"/>
    <w:rsid w:val="00C24229"/>
    <w:rsid w:val="00C25998"/>
    <w:rsid w:val="00C25BF9"/>
    <w:rsid w:val="00C3680C"/>
    <w:rsid w:val="00C506FD"/>
    <w:rsid w:val="00C516EA"/>
    <w:rsid w:val="00C51CB7"/>
    <w:rsid w:val="00C526EC"/>
    <w:rsid w:val="00C529FC"/>
    <w:rsid w:val="00C55401"/>
    <w:rsid w:val="00C5682B"/>
    <w:rsid w:val="00C648D9"/>
    <w:rsid w:val="00C67BD3"/>
    <w:rsid w:val="00C74B6A"/>
    <w:rsid w:val="00C74BE0"/>
    <w:rsid w:val="00C74E49"/>
    <w:rsid w:val="00C75571"/>
    <w:rsid w:val="00C83231"/>
    <w:rsid w:val="00C83E93"/>
    <w:rsid w:val="00C841E6"/>
    <w:rsid w:val="00C856E5"/>
    <w:rsid w:val="00C93923"/>
    <w:rsid w:val="00C939A2"/>
    <w:rsid w:val="00C97601"/>
    <w:rsid w:val="00CA13CB"/>
    <w:rsid w:val="00CA19BA"/>
    <w:rsid w:val="00CA3327"/>
    <w:rsid w:val="00CA3427"/>
    <w:rsid w:val="00CA4029"/>
    <w:rsid w:val="00CB0653"/>
    <w:rsid w:val="00CB1A33"/>
    <w:rsid w:val="00CB4616"/>
    <w:rsid w:val="00CB6B46"/>
    <w:rsid w:val="00CB6D8C"/>
    <w:rsid w:val="00CB725C"/>
    <w:rsid w:val="00CC29E4"/>
    <w:rsid w:val="00CC7A48"/>
    <w:rsid w:val="00CD21B9"/>
    <w:rsid w:val="00CE0477"/>
    <w:rsid w:val="00CE155A"/>
    <w:rsid w:val="00CE2E9E"/>
    <w:rsid w:val="00CE316F"/>
    <w:rsid w:val="00CE3A54"/>
    <w:rsid w:val="00CE546A"/>
    <w:rsid w:val="00CE5D7D"/>
    <w:rsid w:val="00CF1315"/>
    <w:rsid w:val="00CF61A5"/>
    <w:rsid w:val="00CF7096"/>
    <w:rsid w:val="00CF7807"/>
    <w:rsid w:val="00D04B86"/>
    <w:rsid w:val="00D15317"/>
    <w:rsid w:val="00D17963"/>
    <w:rsid w:val="00D20883"/>
    <w:rsid w:val="00D25CDB"/>
    <w:rsid w:val="00D4198E"/>
    <w:rsid w:val="00D41BBB"/>
    <w:rsid w:val="00D4227E"/>
    <w:rsid w:val="00D43183"/>
    <w:rsid w:val="00D45B80"/>
    <w:rsid w:val="00D500C7"/>
    <w:rsid w:val="00D51CD0"/>
    <w:rsid w:val="00D5254F"/>
    <w:rsid w:val="00D55383"/>
    <w:rsid w:val="00D56E74"/>
    <w:rsid w:val="00D61E62"/>
    <w:rsid w:val="00D6470A"/>
    <w:rsid w:val="00D657E6"/>
    <w:rsid w:val="00D675E7"/>
    <w:rsid w:val="00D709E7"/>
    <w:rsid w:val="00D72A08"/>
    <w:rsid w:val="00D74055"/>
    <w:rsid w:val="00D74846"/>
    <w:rsid w:val="00D802BB"/>
    <w:rsid w:val="00D862C9"/>
    <w:rsid w:val="00D97B77"/>
    <w:rsid w:val="00DA160A"/>
    <w:rsid w:val="00DA4C07"/>
    <w:rsid w:val="00DA543E"/>
    <w:rsid w:val="00DB0F0D"/>
    <w:rsid w:val="00DB4D82"/>
    <w:rsid w:val="00DB57C8"/>
    <w:rsid w:val="00DB70FE"/>
    <w:rsid w:val="00DB7543"/>
    <w:rsid w:val="00DC1F93"/>
    <w:rsid w:val="00DC255E"/>
    <w:rsid w:val="00DD0337"/>
    <w:rsid w:val="00DD1243"/>
    <w:rsid w:val="00DE124C"/>
    <w:rsid w:val="00DE1ADD"/>
    <w:rsid w:val="00DE2938"/>
    <w:rsid w:val="00DE6631"/>
    <w:rsid w:val="00DF0672"/>
    <w:rsid w:val="00DF0E3B"/>
    <w:rsid w:val="00DF2059"/>
    <w:rsid w:val="00DF3AC7"/>
    <w:rsid w:val="00DF44DB"/>
    <w:rsid w:val="00DF5FC1"/>
    <w:rsid w:val="00DF65A2"/>
    <w:rsid w:val="00DF773E"/>
    <w:rsid w:val="00E04F69"/>
    <w:rsid w:val="00E06227"/>
    <w:rsid w:val="00E1185B"/>
    <w:rsid w:val="00E1274F"/>
    <w:rsid w:val="00E14235"/>
    <w:rsid w:val="00E14F7B"/>
    <w:rsid w:val="00E20EC8"/>
    <w:rsid w:val="00E216A6"/>
    <w:rsid w:val="00E21964"/>
    <w:rsid w:val="00E21FC7"/>
    <w:rsid w:val="00E23194"/>
    <w:rsid w:val="00E262AC"/>
    <w:rsid w:val="00E30E94"/>
    <w:rsid w:val="00E31A49"/>
    <w:rsid w:val="00E31C43"/>
    <w:rsid w:val="00E32118"/>
    <w:rsid w:val="00E3239D"/>
    <w:rsid w:val="00E332F2"/>
    <w:rsid w:val="00E333C3"/>
    <w:rsid w:val="00E33B95"/>
    <w:rsid w:val="00E36940"/>
    <w:rsid w:val="00E37443"/>
    <w:rsid w:val="00E41E8E"/>
    <w:rsid w:val="00E55624"/>
    <w:rsid w:val="00E5629F"/>
    <w:rsid w:val="00E563B6"/>
    <w:rsid w:val="00E5751F"/>
    <w:rsid w:val="00E61F73"/>
    <w:rsid w:val="00E644E5"/>
    <w:rsid w:val="00E66321"/>
    <w:rsid w:val="00E671F9"/>
    <w:rsid w:val="00E67A99"/>
    <w:rsid w:val="00E67F3C"/>
    <w:rsid w:val="00E70AF2"/>
    <w:rsid w:val="00E71E4F"/>
    <w:rsid w:val="00E74BF3"/>
    <w:rsid w:val="00E800D5"/>
    <w:rsid w:val="00E81E2B"/>
    <w:rsid w:val="00E91179"/>
    <w:rsid w:val="00E92B65"/>
    <w:rsid w:val="00E975EB"/>
    <w:rsid w:val="00EA034B"/>
    <w:rsid w:val="00EA0861"/>
    <w:rsid w:val="00EA1A74"/>
    <w:rsid w:val="00EA3B6E"/>
    <w:rsid w:val="00EA51A0"/>
    <w:rsid w:val="00EA58B8"/>
    <w:rsid w:val="00EB0438"/>
    <w:rsid w:val="00EB0949"/>
    <w:rsid w:val="00EB0CF4"/>
    <w:rsid w:val="00EB15B1"/>
    <w:rsid w:val="00EB27FD"/>
    <w:rsid w:val="00EC408A"/>
    <w:rsid w:val="00EC47FB"/>
    <w:rsid w:val="00EC7E8A"/>
    <w:rsid w:val="00ED08BF"/>
    <w:rsid w:val="00ED39AA"/>
    <w:rsid w:val="00EE2815"/>
    <w:rsid w:val="00EE3128"/>
    <w:rsid w:val="00EF063A"/>
    <w:rsid w:val="00EF3A09"/>
    <w:rsid w:val="00EF3B5F"/>
    <w:rsid w:val="00EF4FF7"/>
    <w:rsid w:val="00EF7129"/>
    <w:rsid w:val="00EF7C3C"/>
    <w:rsid w:val="00F0056B"/>
    <w:rsid w:val="00F00A3C"/>
    <w:rsid w:val="00F024CF"/>
    <w:rsid w:val="00F060B0"/>
    <w:rsid w:val="00F100C8"/>
    <w:rsid w:val="00F11F43"/>
    <w:rsid w:val="00F17D08"/>
    <w:rsid w:val="00F2148C"/>
    <w:rsid w:val="00F220F6"/>
    <w:rsid w:val="00F22F8C"/>
    <w:rsid w:val="00F23813"/>
    <w:rsid w:val="00F27418"/>
    <w:rsid w:val="00F27BCD"/>
    <w:rsid w:val="00F30157"/>
    <w:rsid w:val="00F33641"/>
    <w:rsid w:val="00F35CDD"/>
    <w:rsid w:val="00F3629C"/>
    <w:rsid w:val="00F43D14"/>
    <w:rsid w:val="00F531AC"/>
    <w:rsid w:val="00F5561E"/>
    <w:rsid w:val="00F56AB9"/>
    <w:rsid w:val="00F636C3"/>
    <w:rsid w:val="00F66A32"/>
    <w:rsid w:val="00F66AD6"/>
    <w:rsid w:val="00F66BB0"/>
    <w:rsid w:val="00F67772"/>
    <w:rsid w:val="00F70157"/>
    <w:rsid w:val="00F70D0F"/>
    <w:rsid w:val="00F72626"/>
    <w:rsid w:val="00F76E89"/>
    <w:rsid w:val="00F77508"/>
    <w:rsid w:val="00F82124"/>
    <w:rsid w:val="00F839D8"/>
    <w:rsid w:val="00F85CA5"/>
    <w:rsid w:val="00F869F1"/>
    <w:rsid w:val="00F86E2E"/>
    <w:rsid w:val="00F87274"/>
    <w:rsid w:val="00F90A44"/>
    <w:rsid w:val="00F95BEF"/>
    <w:rsid w:val="00F960FF"/>
    <w:rsid w:val="00F978B4"/>
    <w:rsid w:val="00FA607D"/>
    <w:rsid w:val="00FA7077"/>
    <w:rsid w:val="00FA78D0"/>
    <w:rsid w:val="00FB459B"/>
    <w:rsid w:val="00FB6777"/>
    <w:rsid w:val="00FB701E"/>
    <w:rsid w:val="00FC0DC1"/>
    <w:rsid w:val="00FC1492"/>
    <w:rsid w:val="00FC187F"/>
    <w:rsid w:val="00FC2369"/>
    <w:rsid w:val="00FC2F87"/>
    <w:rsid w:val="00FC432A"/>
    <w:rsid w:val="00FC4761"/>
    <w:rsid w:val="00FC506F"/>
    <w:rsid w:val="00FC589C"/>
    <w:rsid w:val="00FC61BF"/>
    <w:rsid w:val="00FC6A82"/>
    <w:rsid w:val="00FD35B5"/>
    <w:rsid w:val="00FD42D3"/>
    <w:rsid w:val="00FD61D5"/>
    <w:rsid w:val="00FD657F"/>
    <w:rsid w:val="00FD7EA8"/>
    <w:rsid w:val="00FE3823"/>
    <w:rsid w:val="00FE4854"/>
    <w:rsid w:val="00FE5E81"/>
    <w:rsid w:val="00FE6709"/>
    <w:rsid w:val="00FE76E8"/>
    <w:rsid w:val="00FE7E1E"/>
    <w:rsid w:val="00FE7FD9"/>
    <w:rsid w:val="00FF5D8B"/>
    <w:rsid w:val="00FF69E6"/>
    <w:rsid w:val="00FF6D7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EF9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uiPriority w:val="10"/>
    <w:qFormat/>
    <w:rsid w:val="00913535"/>
    <w:pPr>
      <w:numPr>
        <w:numId w:val="8"/>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2"/>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2"/>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2"/>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2"/>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A6B05"/>
    <w:pPr>
      <w:tabs>
        <w:tab w:val="right" w:pos="9639"/>
      </w:tabs>
      <w:spacing w:line="200" w:lineRule="exact"/>
      <w:jc w:val="center"/>
    </w:pPr>
    <w:rPr>
      <w:rFonts w:asciiTheme="majorHAnsi" w:hAnsiTheme="majorHAnsi"/>
      <w:b/>
      <w:color w:val="002D64" w:themeColor="text2"/>
    </w:rPr>
  </w:style>
  <w:style w:type="character" w:customStyle="1" w:styleId="HeaderChar">
    <w:name w:val="Header Char"/>
    <w:basedOn w:val="DefaultParagraphFont"/>
    <w:link w:val="Header"/>
    <w:uiPriority w:val="99"/>
    <w:rsid w:val="004A6B05"/>
    <w:rPr>
      <w:rFonts w:asciiTheme="majorHAnsi" w:hAnsiTheme="majorHAnsi"/>
      <w:b/>
      <w:color w:val="002D64" w:themeColor="text2"/>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2"/>
      </w:numPr>
      <w:spacing w:before="0"/>
    </w:pPr>
  </w:style>
  <w:style w:type="paragraph" w:styleId="TOC1">
    <w:name w:val="toc 1"/>
    <w:basedOn w:val="Normal"/>
    <w:next w:val="Normal"/>
    <w:autoRedefine/>
    <w:uiPriority w:val="39"/>
    <w:unhideWhenUsed/>
    <w:rsid w:val="000573BA"/>
    <w:pPr>
      <w:tabs>
        <w:tab w:val="left" w:pos="567"/>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1702E5"/>
    <w:pPr>
      <w:spacing w:after="220" w:line="260" w:lineRule="atLeast"/>
    </w:pPr>
    <w:rPr>
      <w:rFonts w:asciiTheme="majorHAnsi" w:hAnsiTheme="majorHAnsi"/>
      <w:sz w:val="21"/>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aliases w:val="Cochrane table style"/>
    <w:basedOn w:val="TableNormal"/>
    <w:uiPriority w:val="59"/>
    <w:rsid w:val="00794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Ind w:w="0" w:type="dxa"/>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Ind w:w="0" w:type="dxa"/>
      <w:tblBorders>
        <w:top w:val="single" w:sz="4" w:space="0" w:color="002D64" w:themeColor="text2"/>
        <w:left w:val="single" w:sz="4" w:space="0" w:color="002D64" w:themeColor="text2"/>
        <w:bottom w:val="single" w:sz="4" w:space="0" w:color="002D64" w:themeColor="text2"/>
        <w:right w:val="single" w:sz="4" w:space="0" w:color="002D64" w:themeColor="text2"/>
      </w:tblBorders>
      <w:tblCellMar>
        <w:top w:w="0" w:type="dxa"/>
        <w:left w:w="108" w:type="dxa"/>
        <w:bottom w:w="0" w:type="dxa"/>
        <w:right w:w="108" w:type="dxa"/>
      </w:tblCellMar>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StyleRowBandSize w:val="1"/>
      <w:tblStyleColBandSize w:val="1"/>
      <w:tblInd w:w="0" w:type="dxa"/>
      <w:tblBorders>
        <w:insideH w:val="single" w:sz="4" w:space="0" w:color="002D64" w:themeColor="text2"/>
        <w:insideV w:val="single" w:sz="4" w:space="0" w:color="002D64" w:themeColor="text2"/>
      </w:tblBorders>
      <w:tblCellMar>
        <w:top w:w="0" w:type="dxa"/>
        <w:left w:w="108" w:type="dxa"/>
        <w:bottom w:w="0" w:type="dxa"/>
        <w:right w:w="108" w:type="dxa"/>
      </w:tblCellMar>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E5751F"/>
    <w:pPr>
      <w:spacing w:after="120"/>
      <w:jc w:val="both"/>
    </w:pPr>
    <w:rPr>
      <w:rFonts w:asciiTheme="majorHAnsi" w:hAnsiTheme="majorHAnsi"/>
    </w:rPr>
  </w:style>
  <w:style w:type="character" w:customStyle="1" w:styleId="BodyTextChar">
    <w:name w:val="Body Text Char"/>
    <w:basedOn w:val="DefaultParagraphFont"/>
    <w:link w:val="BodyText"/>
    <w:uiPriority w:val="3"/>
    <w:rsid w:val="00E5751F"/>
    <w:rPr>
      <w:rFonts w:asciiTheme="majorHAnsi" w:hAnsiTheme="majorHAnsi"/>
    </w:rPr>
  </w:style>
  <w:style w:type="paragraph" w:customStyle="1" w:styleId="PagesBulletpoints">
    <w:name w:val="Pages: Bullet points"/>
    <w:basedOn w:val="PagesBodytext"/>
    <w:qFormat/>
    <w:rsid w:val="005B159E"/>
    <w:pPr>
      <w:numPr>
        <w:numId w:val="3"/>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Ind w:w="0" w:type="dxa"/>
      <w:tblBorders>
        <w:top w:val="single" w:sz="4" w:space="0" w:color="002D64" w:themeColor="text2"/>
        <w:left w:val="single" w:sz="4" w:space="0" w:color="002D64" w:themeColor="text2"/>
        <w:bottom w:val="single" w:sz="4" w:space="0" w:color="002D64" w:themeColor="text2"/>
        <w:right w:val="single" w:sz="4" w:space="0" w:color="002D64" w:themeColor="text2"/>
      </w:tblBorders>
      <w:tblCellMar>
        <w:top w:w="0" w:type="dxa"/>
        <w:left w:w="108" w:type="dxa"/>
        <w:bottom w:w="0" w:type="dxa"/>
        <w:right w:w="108" w:type="dxa"/>
      </w:tblCellMar>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025EB0"/>
    <w:pPr>
      <w:spacing w:after="240"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E74BF3"/>
    <w:pPr>
      <w:spacing w:after="240"/>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heading2">
    <w:name w:val="Table heading 2"/>
    <w:basedOn w:val="Normal"/>
    <w:autoRedefine/>
    <w:qFormat/>
    <w:rsid w:val="00022412"/>
    <w:pPr>
      <w:numPr>
        <w:ilvl w:val="2"/>
      </w:numPr>
      <w:spacing w:after="113" w:line="380" w:lineRule="exact"/>
      <w:ind w:left="360"/>
    </w:pPr>
    <w:rPr>
      <w:color w:val="002D64" w:themeColor="text2"/>
      <w:spacing w:val="-8"/>
      <w:sz w:val="32"/>
      <w:szCs w:val="32"/>
    </w:rPr>
  </w:style>
  <w:style w:type="table" w:customStyle="1" w:styleId="PlainTable21">
    <w:name w:val="Plain Table 21"/>
    <w:basedOn w:val="TableNormal"/>
    <w:uiPriority w:val="42"/>
    <w:rsid w:val="00FC6A8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871D2"/>
    <w:rPr>
      <w:sz w:val="18"/>
      <w:szCs w:val="18"/>
    </w:rPr>
  </w:style>
  <w:style w:type="paragraph" w:styleId="CommentText">
    <w:name w:val="annotation text"/>
    <w:basedOn w:val="Normal"/>
    <w:link w:val="CommentTextChar"/>
    <w:uiPriority w:val="99"/>
    <w:semiHidden/>
    <w:unhideWhenUsed/>
    <w:rsid w:val="008871D2"/>
    <w:rPr>
      <w:sz w:val="24"/>
      <w:szCs w:val="24"/>
    </w:rPr>
  </w:style>
  <w:style w:type="character" w:customStyle="1" w:styleId="CommentTextChar">
    <w:name w:val="Comment Text Char"/>
    <w:basedOn w:val="DefaultParagraphFont"/>
    <w:link w:val="CommentText"/>
    <w:uiPriority w:val="99"/>
    <w:semiHidden/>
    <w:rsid w:val="008871D2"/>
    <w:rPr>
      <w:sz w:val="24"/>
      <w:szCs w:val="24"/>
    </w:rPr>
  </w:style>
  <w:style w:type="paragraph" w:styleId="CommentSubject">
    <w:name w:val="annotation subject"/>
    <w:basedOn w:val="CommentText"/>
    <w:next w:val="CommentText"/>
    <w:link w:val="CommentSubjectChar"/>
    <w:uiPriority w:val="99"/>
    <w:semiHidden/>
    <w:unhideWhenUsed/>
    <w:rsid w:val="008871D2"/>
    <w:rPr>
      <w:b/>
      <w:bCs/>
      <w:sz w:val="20"/>
      <w:szCs w:val="20"/>
    </w:rPr>
  </w:style>
  <w:style w:type="character" w:customStyle="1" w:styleId="CommentSubjectChar">
    <w:name w:val="Comment Subject Char"/>
    <w:basedOn w:val="CommentTextChar"/>
    <w:link w:val="CommentSubject"/>
    <w:uiPriority w:val="99"/>
    <w:semiHidden/>
    <w:rsid w:val="008871D2"/>
    <w:rPr>
      <w:b/>
      <w:bCs/>
      <w:sz w:val="20"/>
      <w:szCs w:val="20"/>
    </w:rPr>
  </w:style>
  <w:style w:type="paragraph" w:styleId="Revision">
    <w:name w:val="Revision"/>
    <w:hidden/>
    <w:uiPriority w:val="99"/>
    <w:semiHidden/>
    <w:rsid w:val="004463AA"/>
    <w:pPr>
      <w:spacing w:after="0" w:line="240" w:lineRule="auto"/>
    </w:pPr>
  </w:style>
  <w:style w:type="paragraph" w:styleId="FootnoteText">
    <w:name w:val="footnote text"/>
    <w:basedOn w:val="Normal"/>
    <w:link w:val="FootnoteTextChar"/>
    <w:uiPriority w:val="99"/>
    <w:unhideWhenUsed/>
    <w:rsid w:val="00DA160A"/>
    <w:rPr>
      <w:sz w:val="24"/>
      <w:szCs w:val="24"/>
    </w:rPr>
  </w:style>
  <w:style w:type="character" w:customStyle="1" w:styleId="FootnoteTextChar">
    <w:name w:val="Footnote Text Char"/>
    <w:basedOn w:val="DefaultParagraphFont"/>
    <w:link w:val="FootnoteText"/>
    <w:uiPriority w:val="99"/>
    <w:rsid w:val="00DA160A"/>
    <w:rPr>
      <w:sz w:val="24"/>
      <w:szCs w:val="24"/>
    </w:rPr>
  </w:style>
  <w:style w:type="character" w:styleId="FootnoteReference">
    <w:name w:val="footnote reference"/>
    <w:basedOn w:val="DefaultParagraphFont"/>
    <w:uiPriority w:val="99"/>
    <w:unhideWhenUsed/>
    <w:rsid w:val="00DA160A"/>
    <w:rPr>
      <w:vertAlign w:val="superscript"/>
    </w:rPr>
  </w:style>
  <w:style w:type="paragraph" w:styleId="NormalWeb">
    <w:name w:val="Normal (Web)"/>
    <w:basedOn w:val="Normal"/>
    <w:uiPriority w:val="99"/>
    <w:semiHidden/>
    <w:unhideWhenUsed/>
    <w:rsid w:val="00346C2C"/>
    <w:pPr>
      <w:spacing w:before="100" w:beforeAutospacing="1" w:after="100" w:afterAutospacing="1"/>
    </w:pPr>
    <w:rPr>
      <w:rFonts w:ascii="Times New Roman" w:eastAsiaTheme="minorEastAsia" w:hAnsi="Times New Roman" w:cs="Times New Roman"/>
      <w:sz w:val="24"/>
      <w:szCs w:val="24"/>
      <w:lang w:val="en-US"/>
    </w:rPr>
  </w:style>
  <w:style w:type="paragraph" w:customStyle="1" w:styleId="Headings2">
    <w:name w:val="Headings 2"/>
    <w:basedOn w:val="Normal"/>
    <w:autoRedefine/>
    <w:uiPriority w:val="2"/>
    <w:qFormat/>
    <w:rsid w:val="004C06FF"/>
    <w:pPr>
      <w:numPr>
        <w:ilvl w:val="1"/>
        <w:numId w:val="8"/>
      </w:numPr>
      <w:spacing w:after="113" w:line="380" w:lineRule="exact"/>
      <w:ind w:hanging="792"/>
    </w:pPr>
    <w:rPr>
      <w:color w:val="002D64" w:themeColor="text2"/>
      <w:spacing w:val="-8"/>
      <w:sz w:val="32"/>
      <w:szCs w:val="32"/>
    </w:rPr>
  </w:style>
  <w:style w:type="paragraph" w:customStyle="1" w:styleId="Headings3">
    <w:name w:val="Headings 3"/>
    <w:basedOn w:val="Headings2"/>
    <w:autoRedefine/>
    <w:uiPriority w:val="1"/>
    <w:qFormat/>
    <w:rsid w:val="00C17017"/>
    <w:pPr>
      <w:numPr>
        <w:ilvl w:val="0"/>
        <w:numId w:val="0"/>
      </w:numPr>
      <w:ind w:left="504" w:hanging="504"/>
    </w:pPr>
    <w:rPr>
      <w:sz w:val="28"/>
    </w:rPr>
  </w:style>
  <w:style w:type="character" w:customStyle="1" w:styleId="s2">
    <w:name w:val="s2"/>
    <w:basedOn w:val="DefaultParagraphFont"/>
    <w:rsid w:val="005E478D"/>
  </w:style>
  <w:style w:type="character" w:customStyle="1" w:styleId="apple-converted-space">
    <w:name w:val="apple-converted-space"/>
    <w:basedOn w:val="DefaultParagraphFont"/>
    <w:rsid w:val="0018715B"/>
  </w:style>
  <w:style w:type="table" w:customStyle="1" w:styleId="GridTable5Dark-Accent11">
    <w:name w:val="Grid Table 5 Dark - Accent 11"/>
    <w:basedOn w:val="TableNormal"/>
    <w:uiPriority w:val="50"/>
    <w:rsid w:val="00141AE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D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D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D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D64" w:themeFill="accent1"/>
      </w:tcPr>
    </w:tblStylePr>
    <w:tblStylePr w:type="band1Vert">
      <w:tblPr/>
      <w:tcPr>
        <w:shd w:val="clear" w:color="auto" w:fill="5BA4FF" w:themeFill="accent1" w:themeFillTint="66"/>
      </w:tcPr>
    </w:tblStylePr>
    <w:tblStylePr w:type="band1Horz">
      <w:tblPr/>
      <w:tcPr>
        <w:shd w:val="clear" w:color="auto" w:fill="5BA4FF" w:themeFill="accent1" w:themeFillTint="66"/>
      </w:tcPr>
    </w:tblStylePr>
  </w:style>
  <w:style w:type="table" w:customStyle="1" w:styleId="ListTable7Colorful-Accent11">
    <w:name w:val="List Table 7 Colorful - Accent 11"/>
    <w:basedOn w:val="TableNormal"/>
    <w:uiPriority w:val="52"/>
    <w:rsid w:val="00B07B02"/>
    <w:pPr>
      <w:spacing w:after="0" w:line="240" w:lineRule="auto"/>
    </w:pPr>
    <w:rPr>
      <w:color w:val="00214A"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2D6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D6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D6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D64" w:themeColor="accent1"/>
        </w:tcBorders>
        <w:shd w:val="clear" w:color="auto" w:fill="FFFFFF" w:themeFill="background1"/>
      </w:tcPr>
    </w:tblStylePr>
    <w:tblStylePr w:type="band1Vert">
      <w:tblPr/>
      <w:tcPr>
        <w:shd w:val="clear" w:color="auto" w:fill="ADD1FF" w:themeFill="accent1" w:themeFillTint="33"/>
      </w:tcPr>
    </w:tblStylePr>
    <w:tblStylePr w:type="band1Horz">
      <w:tblPr/>
      <w:tcPr>
        <w:shd w:val="clear" w:color="auto" w:fill="ADD1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B07B0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07B02"/>
    <w:pPr>
      <w:spacing w:after="0" w:line="240" w:lineRule="auto"/>
    </w:pPr>
    <w:rPr>
      <w:color w:val="70216C"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2D9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2D9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2D9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2D91" w:themeColor="accent2"/>
        </w:tcBorders>
        <w:shd w:val="clear" w:color="auto" w:fill="FFFFFF" w:themeFill="background1"/>
      </w:tcPr>
    </w:tblStylePr>
    <w:tblStylePr w:type="band1Vert">
      <w:tblPr/>
      <w:tcPr>
        <w:shd w:val="clear" w:color="auto" w:fill="F0CEEE" w:themeFill="accent2" w:themeFillTint="33"/>
      </w:tcPr>
    </w:tblStylePr>
    <w:tblStylePr w:type="band1Horz">
      <w:tblPr/>
      <w:tcPr>
        <w:shd w:val="clear" w:color="auto" w:fill="F0CE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21">
    <w:name w:val="List Table 6 Colorful - Accent 21"/>
    <w:basedOn w:val="TableNormal"/>
    <w:uiPriority w:val="51"/>
    <w:rsid w:val="00B07B02"/>
    <w:pPr>
      <w:spacing w:after="0" w:line="240" w:lineRule="auto"/>
    </w:pPr>
    <w:rPr>
      <w:color w:val="70216C" w:themeColor="accent2" w:themeShade="BF"/>
    </w:rPr>
    <w:tblPr>
      <w:tblStyleRowBandSize w:val="1"/>
      <w:tblStyleColBandSize w:val="1"/>
      <w:tblInd w:w="0" w:type="dxa"/>
      <w:tblBorders>
        <w:top w:val="single" w:sz="4" w:space="0" w:color="962D91" w:themeColor="accent2"/>
        <w:bottom w:val="single" w:sz="4" w:space="0" w:color="962D91" w:themeColor="accent2"/>
      </w:tblBorders>
      <w:tblCellMar>
        <w:top w:w="0" w:type="dxa"/>
        <w:left w:w="108" w:type="dxa"/>
        <w:bottom w:w="0" w:type="dxa"/>
        <w:right w:w="108" w:type="dxa"/>
      </w:tblCellMar>
    </w:tblPr>
    <w:tblStylePr w:type="firstRow">
      <w:rPr>
        <w:b/>
        <w:bCs/>
      </w:rPr>
      <w:tblPr/>
      <w:tcPr>
        <w:tcBorders>
          <w:bottom w:val="single" w:sz="4" w:space="0" w:color="962D91" w:themeColor="accent2"/>
        </w:tcBorders>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table" w:customStyle="1" w:styleId="ListTable4-Accent61">
    <w:name w:val="List Table 4 - Accent 61"/>
    <w:basedOn w:val="TableNormal"/>
    <w:uiPriority w:val="49"/>
    <w:rsid w:val="00B07B02"/>
    <w:pPr>
      <w:spacing w:after="0" w:line="240" w:lineRule="auto"/>
    </w:pPr>
    <w:tblPr>
      <w:tblStyleRowBandSize w:val="1"/>
      <w:tblStyleColBandSize w:val="1"/>
      <w:tblInd w:w="0" w:type="dxa"/>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E6E6" w:themeColor="accent6"/>
          <w:left w:val="single" w:sz="4" w:space="0" w:color="E6E6E6" w:themeColor="accent6"/>
          <w:bottom w:val="single" w:sz="4" w:space="0" w:color="E6E6E6" w:themeColor="accent6"/>
          <w:right w:val="single" w:sz="4" w:space="0" w:color="E6E6E6" w:themeColor="accent6"/>
          <w:insideH w:val="nil"/>
        </w:tcBorders>
        <w:shd w:val="clear" w:color="auto" w:fill="E6E6E6" w:themeFill="accent6"/>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customStyle="1" w:styleId="ListTable5Dark1">
    <w:name w:val="List Table 5 Dark1"/>
    <w:basedOn w:val="TableNormal"/>
    <w:uiPriority w:val="50"/>
    <w:rsid w:val="00B07B0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07B02"/>
    <w:pPr>
      <w:spacing w:after="0" w:line="240" w:lineRule="auto"/>
    </w:pPr>
    <w:rPr>
      <w:color w:val="FFFFFF" w:themeColor="background1"/>
    </w:rPr>
    <w:tblPr>
      <w:tblStyleRowBandSize w:val="1"/>
      <w:tblStyleColBandSize w:val="1"/>
      <w:tblInd w:w="0" w:type="dxa"/>
      <w:tblBorders>
        <w:top w:val="single" w:sz="24" w:space="0" w:color="002D64" w:themeColor="accent1"/>
        <w:left w:val="single" w:sz="24" w:space="0" w:color="002D64" w:themeColor="accent1"/>
        <w:bottom w:val="single" w:sz="24" w:space="0" w:color="002D64" w:themeColor="accent1"/>
        <w:right w:val="single" w:sz="24" w:space="0" w:color="002D64" w:themeColor="accent1"/>
      </w:tblBorders>
      <w:tblCellMar>
        <w:top w:w="0" w:type="dxa"/>
        <w:left w:w="108" w:type="dxa"/>
        <w:bottom w:w="0" w:type="dxa"/>
        <w:right w:w="108" w:type="dxa"/>
      </w:tblCellMar>
    </w:tblPr>
    <w:tcPr>
      <w:shd w:val="clear" w:color="auto" w:fill="002D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07B02"/>
    <w:pPr>
      <w:spacing w:after="0" w:line="240" w:lineRule="auto"/>
    </w:pPr>
    <w:rPr>
      <w:color w:val="FFFFFF" w:themeColor="background1"/>
    </w:rPr>
    <w:tblPr>
      <w:tblStyleRowBandSize w:val="1"/>
      <w:tblStyleColBandSize w:val="1"/>
      <w:tblInd w:w="0" w:type="dxa"/>
      <w:tblBorders>
        <w:top w:val="single" w:sz="24" w:space="0" w:color="962D91" w:themeColor="accent2"/>
        <w:left w:val="single" w:sz="24" w:space="0" w:color="962D91" w:themeColor="accent2"/>
        <w:bottom w:val="single" w:sz="24" w:space="0" w:color="962D91" w:themeColor="accent2"/>
        <w:right w:val="single" w:sz="24" w:space="0" w:color="962D91" w:themeColor="accent2"/>
      </w:tblBorders>
      <w:tblCellMar>
        <w:top w:w="0" w:type="dxa"/>
        <w:left w:w="108" w:type="dxa"/>
        <w:bottom w:w="0" w:type="dxa"/>
        <w:right w:w="108" w:type="dxa"/>
      </w:tblCellMar>
    </w:tblPr>
    <w:tcPr>
      <w:shd w:val="clear" w:color="auto" w:fill="962D9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B07B02"/>
    <w:pPr>
      <w:spacing w:after="0" w:line="240" w:lineRule="auto"/>
    </w:pPr>
    <w:rPr>
      <w:color w:val="00214A" w:themeColor="accent1" w:themeShade="BF"/>
    </w:rPr>
    <w:tblPr>
      <w:tblStyleRowBandSize w:val="1"/>
      <w:tblStyleColBandSize w:val="1"/>
      <w:tblInd w:w="0" w:type="dxa"/>
      <w:tblBorders>
        <w:top w:val="single" w:sz="4" w:space="0" w:color="002D64" w:themeColor="accent1"/>
        <w:bottom w:val="single" w:sz="4" w:space="0" w:color="002D64" w:themeColor="accent1"/>
      </w:tblBorders>
      <w:tblCellMar>
        <w:top w:w="0" w:type="dxa"/>
        <w:left w:w="108" w:type="dxa"/>
        <w:bottom w:w="0" w:type="dxa"/>
        <w:right w:w="108" w:type="dxa"/>
      </w:tblCellMar>
    </w:tblPr>
    <w:tblStylePr w:type="firstRow">
      <w:rPr>
        <w:b/>
        <w:bCs/>
      </w:rPr>
      <w:tblPr/>
      <w:tcPr>
        <w:tcBorders>
          <w:bottom w:val="single" w:sz="4" w:space="0" w:color="002D64" w:themeColor="accent1"/>
        </w:tcBorders>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character" w:styleId="FollowedHyperlink">
    <w:name w:val="FollowedHyperlink"/>
    <w:basedOn w:val="DefaultParagraphFont"/>
    <w:uiPriority w:val="99"/>
    <w:semiHidden/>
    <w:unhideWhenUsed/>
    <w:rsid w:val="00F43D14"/>
    <w:rPr>
      <w:color w:val="002D64" w:themeColor="followedHyperlink"/>
      <w:u w:val="single"/>
    </w:rPr>
  </w:style>
  <w:style w:type="table" w:customStyle="1" w:styleId="TableGridLight1">
    <w:name w:val="Table Grid Light1"/>
    <w:basedOn w:val="TableNormal"/>
    <w:uiPriority w:val="40"/>
    <w:rsid w:val="001F6FC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1">
    <w:name w:val="Plain Table 51"/>
    <w:basedOn w:val="TableNormal"/>
    <w:uiPriority w:val="45"/>
    <w:rsid w:val="004E75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167">
      <w:bodyDiv w:val="1"/>
      <w:marLeft w:val="0"/>
      <w:marRight w:val="0"/>
      <w:marTop w:val="0"/>
      <w:marBottom w:val="0"/>
      <w:divBdr>
        <w:top w:val="none" w:sz="0" w:space="0" w:color="auto"/>
        <w:left w:val="none" w:sz="0" w:space="0" w:color="auto"/>
        <w:bottom w:val="none" w:sz="0" w:space="0" w:color="auto"/>
        <w:right w:val="none" w:sz="0" w:space="0" w:color="auto"/>
      </w:divBdr>
      <w:divsChild>
        <w:div w:id="1642996645">
          <w:marLeft w:val="821"/>
          <w:marRight w:val="0"/>
          <w:marTop w:val="227"/>
          <w:marBottom w:val="0"/>
          <w:divBdr>
            <w:top w:val="none" w:sz="0" w:space="0" w:color="auto"/>
            <w:left w:val="none" w:sz="0" w:space="0" w:color="auto"/>
            <w:bottom w:val="none" w:sz="0" w:space="0" w:color="auto"/>
            <w:right w:val="none" w:sz="0" w:space="0" w:color="auto"/>
          </w:divBdr>
        </w:div>
      </w:divsChild>
    </w:div>
    <w:div w:id="641426923">
      <w:bodyDiv w:val="1"/>
      <w:marLeft w:val="0"/>
      <w:marRight w:val="0"/>
      <w:marTop w:val="0"/>
      <w:marBottom w:val="0"/>
      <w:divBdr>
        <w:top w:val="none" w:sz="0" w:space="0" w:color="auto"/>
        <w:left w:val="none" w:sz="0" w:space="0" w:color="auto"/>
        <w:bottom w:val="none" w:sz="0" w:space="0" w:color="auto"/>
        <w:right w:val="none" w:sz="0" w:space="0" w:color="auto"/>
      </w:divBdr>
      <w:divsChild>
        <w:div w:id="1338923809">
          <w:marLeft w:val="0"/>
          <w:marRight w:val="0"/>
          <w:marTop w:val="0"/>
          <w:marBottom w:val="0"/>
          <w:divBdr>
            <w:top w:val="none" w:sz="0" w:space="0" w:color="auto"/>
            <w:left w:val="none" w:sz="0" w:space="0" w:color="auto"/>
            <w:bottom w:val="none" w:sz="0" w:space="0" w:color="auto"/>
            <w:right w:val="none" w:sz="0" w:space="0" w:color="auto"/>
          </w:divBdr>
        </w:div>
        <w:div w:id="454106989">
          <w:marLeft w:val="0"/>
          <w:marRight w:val="0"/>
          <w:marTop w:val="0"/>
          <w:marBottom w:val="0"/>
          <w:divBdr>
            <w:top w:val="none" w:sz="0" w:space="0" w:color="auto"/>
            <w:left w:val="none" w:sz="0" w:space="0" w:color="auto"/>
            <w:bottom w:val="none" w:sz="0" w:space="0" w:color="auto"/>
            <w:right w:val="none" w:sz="0" w:space="0" w:color="auto"/>
          </w:divBdr>
        </w:div>
        <w:div w:id="806706876">
          <w:marLeft w:val="0"/>
          <w:marRight w:val="0"/>
          <w:marTop w:val="0"/>
          <w:marBottom w:val="0"/>
          <w:divBdr>
            <w:top w:val="none" w:sz="0" w:space="0" w:color="auto"/>
            <w:left w:val="none" w:sz="0" w:space="0" w:color="auto"/>
            <w:bottom w:val="none" w:sz="0" w:space="0" w:color="auto"/>
            <w:right w:val="none" w:sz="0" w:space="0" w:color="auto"/>
          </w:divBdr>
        </w:div>
        <w:div w:id="8530451">
          <w:marLeft w:val="0"/>
          <w:marRight w:val="0"/>
          <w:marTop w:val="0"/>
          <w:marBottom w:val="0"/>
          <w:divBdr>
            <w:top w:val="none" w:sz="0" w:space="0" w:color="auto"/>
            <w:left w:val="none" w:sz="0" w:space="0" w:color="auto"/>
            <w:bottom w:val="none" w:sz="0" w:space="0" w:color="auto"/>
            <w:right w:val="none" w:sz="0" w:space="0" w:color="auto"/>
          </w:divBdr>
        </w:div>
      </w:divsChild>
    </w:div>
    <w:div w:id="716584921">
      <w:bodyDiv w:val="1"/>
      <w:marLeft w:val="0"/>
      <w:marRight w:val="0"/>
      <w:marTop w:val="0"/>
      <w:marBottom w:val="0"/>
      <w:divBdr>
        <w:top w:val="none" w:sz="0" w:space="0" w:color="auto"/>
        <w:left w:val="none" w:sz="0" w:space="0" w:color="auto"/>
        <w:bottom w:val="none" w:sz="0" w:space="0" w:color="auto"/>
        <w:right w:val="none" w:sz="0" w:space="0" w:color="auto"/>
      </w:divBdr>
    </w:div>
    <w:div w:id="1061253826">
      <w:bodyDiv w:val="1"/>
      <w:marLeft w:val="0"/>
      <w:marRight w:val="0"/>
      <w:marTop w:val="0"/>
      <w:marBottom w:val="0"/>
      <w:divBdr>
        <w:top w:val="none" w:sz="0" w:space="0" w:color="auto"/>
        <w:left w:val="none" w:sz="0" w:space="0" w:color="auto"/>
        <w:bottom w:val="none" w:sz="0" w:space="0" w:color="auto"/>
        <w:right w:val="none" w:sz="0" w:space="0" w:color="auto"/>
      </w:divBdr>
    </w:div>
    <w:div w:id="1082020012">
      <w:bodyDiv w:val="1"/>
      <w:marLeft w:val="0"/>
      <w:marRight w:val="0"/>
      <w:marTop w:val="0"/>
      <w:marBottom w:val="0"/>
      <w:divBdr>
        <w:top w:val="none" w:sz="0" w:space="0" w:color="auto"/>
        <w:left w:val="none" w:sz="0" w:space="0" w:color="auto"/>
        <w:bottom w:val="none" w:sz="0" w:space="0" w:color="auto"/>
        <w:right w:val="none" w:sz="0" w:space="0" w:color="auto"/>
      </w:divBdr>
    </w:div>
    <w:div w:id="1213927262">
      <w:bodyDiv w:val="1"/>
      <w:marLeft w:val="0"/>
      <w:marRight w:val="0"/>
      <w:marTop w:val="0"/>
      <w:marBottom w:val="0"/>
      <w:divBdr>
        <w:top w:val="none" w:sz="0" w:space="0" w:color="auto"/>
        <w:left w:val="none" w:sz="0" w:space="0" w:color="auto"/>
        <w:bottom w:val="none" w:sz="0" w:space="0" w:color="auto"/>
        <w:right w:val="none" w:sz="0" w:space="0" w:color="auto"/>
      </w:divBdr>
    </w:div>
    <w:div w:id="13570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community.cochrane.org/organizational-info/resources/resources-groups/fields-info" TargetMode="External"/><Relationship Id="rId12" Type="http://schemas.openxmlformats.org/officeDocument/2006/relationships/hyperlink" Target="http://www.cochrane.org/contact/fields" TargetMode="External"/><Relationship Id="rId13" Type="http://schemas.openxmlformats.org/officeDocument/2006/relationships/hyperlink" Target="https://tinyurl.com/jsxx79o" TargetMode="External"/><Relationship Id="rId14" Type="http://schemas.openxmlformats.org/officeDocument/2006/relationships/image" Target="media/image3.emf"/><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4.png"/><Relationship Id="rId18" Type="http://schemas.openxmlformats.org/officeDocument/2006/relationships/hyperlink" Target="https://tinyurl.com/zcpooe2" TargetMode="External"/><Relationship Id="rId19" Type="http://schemas.openxmlformats.org/officeDocument/2006/relationships/hyperlink" Target="http://community.cochrane.org/organizational-info/resources/polic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champion@cochran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mmunity.cochrane.org/review-production/dissemination-resources/knowledge-translation-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F68B-F5BD-8C4C-A4E7-97FE21D0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4464</Words>
  <Characters>25448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Chris Champion</cp:lastModifiedBy>
  <cp:revision>2</cp:revision>
  <cp:lastPrinted>2016-09-29T15:36:00Z</cp:lastPrinted>
  <dcterms:created xsi:type="dcterms:W3CDTF">2017-04-10T12:09:00Z</dcterms:created>
  <dcterms:modified xsi:type="dcterms:W3CDTF">2017-04-10T12:09:00Z</dcterms:modified>
</cp:coreProperties>
</file>