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1"/>
        <w:tblW w:w="5000" w:type="pct"/>
        <w:tblLook w:val="04A0" w:firstRow="1" w:lastRow="0" w:firstColumn="1" w:lastColumn="0" w:noHBand="0" w:noVBand="1"/>
      </w:tblPr>
      <w:tblGrid>
        <w:gridCol w:w="2751"/>
        <w:gridCol w:w="7103"/>
      </w:tblGrid>
      <w:tr w:rsidR="008D4918" w:rsidRPr="0092690B" w:rsidTr="008D4918">
        <w:tc>
          <w:tcPr>
            <w:tcW w:w="1396" w:type="pct"/>
          </w:tcPr>
          <w:p w:rsidR="00211DDD" w:rsidRPr="00211DDD" w:rsidRDefault="00211DDD" w:rsidP="00B71F65">
            <w:pPr>
              <w:pStyle w:val="PagesSubheading"/>
              <w:numPr>
                <w:ilvl w:val="0"/>
                <w:numId w:val="0"/>
              </w:numPr>
              <w:spacing w:line="240" w:lineRule="auto"/>
            </w:pPr>
            <w:r w:rsidRPr="00211DDD">
              <w:t>Agenda number:</w:t>
            </w:r>
          </w:p>
        </w:tc>
        <w:tc>
          <w:tcPr>
            <w:tcW w:w="3604" w:type="pct"/>
          </w:tcPr>
          <w:p w:rsidR="00211DDD" w:rsidRPr="00FE7F18" w:rsidRDefault="00FE7F18" w:rsidP="00B71F65">
            <w:pPr>
              <w:pStyle w:val="PagesBodytext"/>
              <w:spacing w:after="0" w:line="240" w:lineRule="auto"/>
              <w:rPr>
                <w:b/>
              </w:rPr>
            </w:pPr>
            <w:r w:rsidRPr="00FE7F18">
              <w:rPr>
                <w:b/>
              </w:rPr>
              <w:t>9.1</w:t>
            </w:r>
          </w:p>
        </w:tc>
      </w:tr>
      <w:tr w:rsidR="008D4918" w:rsidRPr="0092690B" w:rsidTr="008D4918">
        <w:tc>
          <w:tcPr>
            <w:tcW w:w="1396" w:type="pct"/>
          </w:tcPr>
          <w:p w:rsidR="00211DDD" w:rsidRPr="00211DDD" w:rsidRDefault="00211DDD" w:rsidP="00B71F65">
            <w:pPr>
              <w:pStyle w:val="PagesSubheading"/>
              <w:numPr>
                <w:ilvl w:val="0"/>
                <w:numId w:val="0"/>
              </w:numPr>
              <w:spacing w:line="240" w:lineRule="auto"/>
            </w:pPr>
            <w:r w:rsidRPr="00211DDD">
              <w:t>Agenda item:</w:t>
            </w:r>
          </w:p>
        </w:tc>
        <w:tc>
          <w:tcPr>
            <w:tcW w:w="3604" w:type="pct"/>
          </w:tcPr>
          <w:p w:rsidR="00211DDD" w:rsidRPr="00FE7F18" w:rsidRDefault="00A7320A" w:rsidP="00B71F65">
            <w:pPr>
              <w:pStyle w:val="PagesBodytext"/>
              <w:spacing w:after="0" w:line="240" w:lineRule="auto"/>
              <w:rPr>
                <w:b/>
              </w:rPr>
            </w:pPr>
            <w:r w:rsidRPr="00FE7F18">
              <w:rPr>
                <w:b/>
              </w:rPr>
              <w:t xml:space="preserve">Report on </w:t>
            </w:r>
            <w:r w:rsidR="00FE7F18" w:rsidRPr="00FE7F18">
              <w:rPr>
                <w:b/>
              </w:rPr>
              <w:t xml:space="preserve">the </w:t>
            </w:r>
            <w:r w:rsidRPr="00FE7F18">
              <w:rPr>
                <w:b/>
              </w:rPr>
              <w:t xml:space="preserve">2016-2017 </w:t>
            </w:r>
            <w:r w:rsidR="00FE7F18" w:rsidRPr="00FE7F18">
              <w:rPr>
                <w:b/>
              </w:rPr>
              <w:t xml:space="preserve">Governing </w:t>
            </w:r>
            <w:r w:rsidRPr="00FE7F18">
              <w:rPr>
                <w:b/>
              </w:rPr>
              <w:t>Board election</w:t>
            </w:r>
          </w:p>
        </w:tc>
      </w:tr>
      <w:tr w:rsidR="008D4918" w:rsidRPr="0092690B" w:rsidTr="008D4918">
        <w:tc>
          <w:tcPr>
            <w:tcW w:w="1396" w:type="pct"/>
          </w:tcPr>
          <w:p w:rsidR="00211DDD" w:rsidRPr="00211DDD" w:rsidRDefault="00211DDD" w:rsidP="00B71F65">
            <w:pPr>
              <w:pStyle w:val="PagesSubheading"/>
              <w:numPr>
                <w:ilvl w:val="0"/>
                <w:numId w:val="0"/>
              </w:numPr>
              <w:spacing w:line="240" w:lineRule="auto"/>
            </w:pPr>
            <w:r w:rsidRPr="00211DDD">
              <w:t>Submitted for Governing Board meeting:</w:t>
            </w:r>
          </w:p>
        </w:tc>
        <w:tc>
          <w:tcPr>
            <w:tcW w:w="3604" w:type="pct"/>
          </w:tcPr>
          <w:p w:rsidR="00211DDD" w:rsidRPr="0092690B" w:rsidRDefault="00FE7F18" w:rsidP="00B71F65">
            <w:pPr>
              <w:pStyle w:val="PagesBodytext"/>
              <w:spacing w:after="0" w:line="240" w:lineRule="auto"/>
            </w:pPr>
            <w:r>
              <w:t xml:space="preserve">Geneva, </w:t>
            </w:r>
            <w:r w:rsidR="00A7320A">
              <w:t>April 2017</w:t>
            </w:r>
          </w:p>
        </w:tc>
      </w:tr>
      <w:tr w:rsidR="008D4918" w:rsidRPr="0092690B" w:rsidTr="008D4918">
        <w:tc>
          <w:tcPr>
            <w:tcW w:w="1396" w:type="pct"/>
          </w:tcPr>
          <w:p w:rsidR="00211DDD" w:rsidRPr="00211DDD" w:rsidRDefault="00211DDD" w:rsidP="00B71F65">
            <w:pPr>
              <w:pStyle w:val="PagesSubheading"/>
              <w:numPr>
                <w:ilvl w:val="0"/>
                <w:numId w:val="0"/>
              </w:numPr>
              <w:spacing w:line="240" w:lineRule="auto"/>
            </w:pPr>
            <w:r w:rsidRPr="00211DDD">
              <w:t>Submitted by:</w:t>
            </w:r>
          </w:p>
        </w:tc>
        <w:tc>
          <w:tcPr>
            <w:tcW w:w="3604" w:type="pct"/>
          </w:tcPr>
          <w:p w:rsidR="00A7320A" w:rsidRPr="0092690B" w:rsidRDefault="00A7320A" w:rsidP="00B71F65">
            <w:pPr>
              <w:pStyle w:val="PagesBodytext"/>
              <w:spacing w:after="0" w:line="240" w:lineRule="auto"/>
            </w:pPr>
            <w:r>
              <w:t xml:space="preserve">Miranda Cumpston, </w:t>
            </w:r>
            <w:r w:rsidR="006D0352">
              <w:t>Head of Learning &amp; Support</w:t>
            </w:r>
            <w:r>
              <w:br/>
              <w:t xml:space="preserve">Lucie Binder, </w:t>
            </w:r>
            <w:r w:rsidR="006D0352" w:rsidRPr="006D0352">
              <w:t>Senior</w:t>
            </w:r>
            <w:r w:rsidR="006D0352" w:rsidRPr="006D0352">
              <w:rPr>
                <w:rStyle w:val="Hyperlink"/>
                <w:color w:val="auto"/>
                <w:u w:val="none"/>
              </w:rPr>
              <w:t xml:space="preserve"> Advisor to the CEO</w:t>
            </w:r>
          </w:p>
        </w:tc>
      </w:tr>
      <w:tr w:rsidR="008D4918" w:rsidRPr="0092690B" w:rsidTr="008D4918">
        <w:tc>
          <w:tcPr>
            <w:tcW w:w="1396" w:type="pct"/>
          </w:tcPr>
          <w:p w:rsidR="00211DDD" w:rsidRPr="00211DDD" w:rsidRDefault="00211DDD" w:rsidP="00B71F65">
            <w:pPr>
              <w:pStyle w:val="PagesSubheading"/>
              <w:numPr>
                <w:ilvl w:val="0"/>
                <w:numId w:val="0"/>
              </w:numPr>
              <w:spacing w:line="240" w:lineRule="auto"/>
            </w:pPr>
            <w:r w:rsidRPr="00211DDD">
              <w:t>Sponsored by:</w:t>
            </w:r>
          </w:p>
        </w:tc>
        <w:tc>
          <w:tcPr>
            <w:tcW w:w="3604" w:type="pct"/>
          </w:tcPr>
          <w:p w:rsidR="00211DDD" w:rsidRPr="0092690B" w:rsidRDefault="00211DDD" w:rsidP="00B71F65">
            <w:pPr>
              <w:pStyle w:val="PagesBodytext"/>
              <w:spacing w:after="0" w:line="240" w:lineRule="auto"/>
            </w:pPr>
            <w:r w:rsidRPr="0092690B">
              <w:t>Chief Executive Officer</w:t>
            </w:r>
          </w:p>
        </w:tc>
      </w:tr>
      <w:tr w:rsidR="008D4918" w:rsidRPr="0092690B" w:rsidTr="008D4918">
        <w:tc>
          <w:tcPr>
            <w:tcW w:w="1396" w:type="pct"/>
          </w:tcPr>
          <w:p w:rsidR="00211DDD" w:rsidRPr="00211DDD" w:rsidRDefault="00211DDD" w:rsidP="00B71F65">
            <w:pPr>
              <w:pStyle w:val="PagesSubheading"/>
              <w:numPr>
                <w:ilvl w:val="0"/>
                <w:numId w:val="0"/>
              </w:numPr>
              <w:spacing w:line="240" w:lineRule="auto"/>
            </w:pPr>
            <w:r w:rsidRPr="00211DDD">
              <w:t>Access:</w:t>
            </w:r>
          </w:p>
        </w:tc>
        <w:tc>
          <w:tcPr>
            <w:tcW w:w="3604" w:type="pct"/>
          </w:tcPr>
          <w:p w:rsidR="00211DDD" w:rsidRPr="0092690B" w:rsidRDefault="00A7320A" w:rsidP="00B71F65">
            <w:pPr>
              <w:pStyle w:val="PagesBodytext"/>
              <w:spacing w:after="0" w:line="240" w:lineRule="auto"/>
            </w:pPr>
            <w:r>
              <w:t>Open</w:t>
            </w:r>
          </w:p>
        </w:tc>
      </w:tr>
      <w:tr w:rsidR="008D4918" w:rsidRPr="0092690B" w:rsidTr="008D4918">
        <w:tc>
          <w:tcPr>
            <w:tcW w:w="1396" w:type="pct"/>
          </w:tcPr>
          <w:p w:rsidR="00211DDD" w:rsidRPr="00211DDD" w:rsidRDefault="00211DDD" w:rsidP="00B71F65">
            <w:pPr>
              <w:pStyle w:val="PagesSubheading"/>
              <w:numPr>
                <w:ilvl w:val="0"/>
                <w:numId w:val="0"/>
              </w:numPr>
              <w:spacing w:line="240" w:lineRule="auto"/>
            </w:pPr>
            <w:r w:rsidRPr="00211DDD">
              <w:t>Decision or information:</w:t>
            </w:r>
          </w:p>
        </w:tc>
        <w:tc>
          <w:tcPr>
            <w:tcW w:w="3604" w:type="pct"/>
          </w:tcPr>
          <w:p w:rsidR="00211DDD" w:rsidRPr="0092690B" w:rsidRDefault="00A7320A" w:rsidP="00B71F65">
            <w:pPr>
              <w:pStyle w:val="PagesBodytext"/>
              <w:spacing w:after="0" w:line="240" w:lineRule="auto"/>
            </w:pPr>
            <w:r>
              <w:t>Decision</w:t>
            </w:r>
          </w:p>
        </w:tc>
      </w:tr>
      <w:tr w:rsidR="008D4918" w:rsidRPr="0092690B" w:rsidTr="008D4918">
        <w:tc>
          <w:tcPr>
            <w:tcW w:w="1396" w:type="pct"/>
          </w:tcPr>
          <w:p w:rsidR="00211DDD" w:rsidRPr="00211DDD" w:rsidRDefault="00211DDD" w:rsidP="00B71F65">
            <w:pPr>
              <w:pStyle w:val="PagesSubheading"/>
              <w:numPr>
                <w:ilvl w:val="0"/>
                <w:numId w:val="0"/>
              </w:numPr>
              <w:spacing w:line="240" w:lineRule="auto"/>
            </w:pPr>
            <w:r w:rsidRPr="00211DDD">
              <w:t>Resolution for the minutes:</w:t>
            </w:r>
          </w:p>
        </w:tc>
        <w:tc>
          <w:tcPr>
            <w:tcW w:w="3604" w:type="pct"/>
          </w:tcPr>
          <w:p w:rsidR="00626803" w:rsidRDefault="003A651D" w:rsidP="00B71F65">
            <w:pPr>
              <w:pStyle w:val="PagesBodytext"/>
              <w:spacing w:after="0" w:line="240" w:lineRule="auto"/>
            </w:pPr>
            <w:r>
              <w:t>The</w:t>
            </w:r>
            <w:r w:rsidR="00A7320A">
              <w:t xml:space="preserve"> Board</w:t>
            </w:r>
            <w:r w:rsidR="00626803">
              <w:t>:</w:t>
            </w:r>
          </w:p>
          <w:p w:rsidR="00626803" w:rsidRDefault="00626803" w:rsidP="00B71F65">
            <w:pPr>
              <w:pStyle w:val="PagesBodytext"/>
              <w:numPr>
                <w:ilvl w:val="0"/>
                <w:numId w:val="49"/>
              </w:numPr>
              <w:spacing w:after="0" w:line="240" w:lineRule="auto"/>
            </w:pPr>
            <w:r>
              <w:t>Approves</w:t>
            </w:r>
            <w:r w:rsidR="00A7320A">
              <w:t xml:space="preserve"> the recommended changes to the electoral procedures for Governing Board elections</w:t>
            </w:r>
            <w:r>
              <w:t>;</w:t>
            </w:r>
          </w:p>
          <w:p w:rsidR="00626803" w:rsidRDefault="00626803" w:rsidP="00B71F65">
            <w:pPr>
              <w:pStyle w:val="PagesBodytext"/>
              <w:numPr>
                <w:ilvl w:val="0"/>
                <w:numId w:val="49"/>
              </w:numPr>
              <w:spacing w:after="0" w:line="240" w:lineRule="auto"/>
            </w:pPr>
            <w:r>
              <w:t>A</w:t>
            </w:r>
            <w:r w:rsidR="00FE0DB5">
              <w:t>pprove</w:t>
            </w:r>
            <w:r w:rsidR="00BB1E3A">
              <w:t>s</w:t>
            </w:r>
            <w:r w:rsidR="00FE0DB5">
              <w:t xml:space="preserve"> the proposed timelines for elections to be conducted in 2017</w:t>
            </w:r>
            <w:r>
              <w:t>;</w:t>
            </w:r>
          </w:p>
          <w:p w:rsidR="00211DDD" w:rsidRDefault="006D0352" w:rsidP="00B71F65">
            <w:pPr>
              <w:pStyle w:val="PagesBodytext"/>
              <w:numPr>
                <w:ilvl w:val="0"/>
                <w:numId w:val="49"/>
              </w:numPr>
              <w:spacing w:after="0" w:line="240" w:lineRule="auto"/>
            </w:pPr>
            <w:r>
              <w:t>Gives</w:t>
            </w:r>
            <w:r w:rsidR="00626803">
              <w:t xml:space="preserve"> suggestions fo</w:t>
            </w:r>
            <w:r w:rsidR="00626803" w:rsidRPr="00626803">
              <w:t>r how Cochrane could provide support to non-English candidates to facilitate their participation in future elections</w:t>
            </w:r>
            <w:r>
              <w:t>.</w:t>
            </w:r>
          </w:p>
          <w:p w:rsidR="00626803" w:rsidRPr="0092690B" w:rsidRDefault="00626803" w:rsidP="00B71F65">
            <w:pPr>
              <w:pStyle w:val="PagesBodytext"/>
              <w:spacing w:after="0" w:line="240" w:lineRule="auto"/>
              <w:ind w:left="720"/>
            </w:pPr>
          </w:p>
        </w:tc>
      </w:tr>
      <w:tr w:rsidR="008D4918" w:rsidRPr="0092690B" w:rsidTr="008D4918">
        <w:tc>
          <w:tcPr>
            <w:tcW w:w="1396" w:type="pct"/>
          </w:tcPr>
          <w:p w:rsidR="00211DDD" w:rsidRPr="00211DDD" w:rsidRDefault="00211DDD" w:rsidP="00B71F65">
            <w:pPr>
              <w:pStyle w:val="PagesSubheading"/>
              <w:numPr>
                <w:ilvl w:val="0"/>
                <w:numId w:val="0"/>
              </w:numPr>
              <w:spacing w:line="240" w:lineRule="auto"/>
            </w:pPr>
            <w:r w:rsidRPr="00211DDD">
              <w:t xml:space="preserve">Executive summary: </w:t>
            </w:r>
          </w:p>
        </w:tc>
        <w:tc>
          <w:tcPr>
            <w:tcW w:w="3604" w:type="pct"/>
          </w:tcPr>
          <w:p w:rsidR="007058F3" w:rsidRDefault="00A7320A" w:rsidP="00B71F65">
            <w:pPr>
              <w:pStyle w:val="PagesBodytext"/>
              <w:spacing w:after="0" w:line="240" w:lineRule="auto"/>
            </w:pPr>
            <w:r>
              <w:t xml:space="preserve">The Board election held in 2016-2017 was the first conducted under the new electoral procedures following the governance reform process completed in 2016. </w:t>
            </w:r>
            <w:r w:rsidR="00E0225A">
              <w:t xml:space="preserve">Eleven candidates stood for election, and their </w:t>
            </w:r>
            <w:r w:rsidR="00E0225A" w:rsidRPr="00E0225A">
              <w:t>contribution and willin</w:t>
            </w:r>
            <w:r w:rsidR="00E0225A">
              <w:t>gness to volunteer their time was</w:t>
            </w:r>
            <w:r w:rsidR="00E0225A" w:rsidRPr="00E0225A">
              <w:t xml:space="preserve"> greatly appreciated</w:t>
            </w:r>
            <w:r w:rsidR="00E0225A">
              <w:t xml:space="preserve"> by the Board.</w:t>
            </w:r>
          </w:p>
          <w:p w:rsidR="00E96C74" w:rsidRDefault="00E96C74" w:rsidP="00B71F65">
            <w:pPr>
              <w:pStyle w:val="PagesBodytext"/>
              <w:spacing w:after="0" w:line="240" w:lineRule="auto"/>
            </w:pPr>
          </w:p>
          <w:p w:rsidR="007058F3" w:rsidRDefault="007058F3" w:rsidP="00B71F65">
            <w:pPr>
              <w:pStyle w:val="PagesBodytext"/>
              <w:spacing w:after="0" w:line="240" w:lineRule="auto"/>
            </w:pPr>
            <w:r>
              <w:t>As with any first run, some opportunities were identified to make changes that would improve the simplicity and transparency of the electoral process, including:</w:t>
            </w:r>
          </w:p>
          <w:p w:rsidR="00FE0DB5" w:rsidRDefault="00FE0DB5" w:rsidP="00B71F65">
            <w:pPr>
              <w:pStyle w:val="PagesBodytext"/>
              <w:numPr>
                <w:ilvl w:val="0"/>
                <w:numId w:val="39"/>
              </w:numPr>
              <w:spacing w:after="0" w:line="240" w:lineRule="auto"/>
            </w:pPr>
            <w:r>
              <w:t>Replacing the preferential voting system with a simplified system in which voters cast one vote for each vacancy available with no ranking of candidates.</w:t>
            </w:r>
            <w:r w:rsidR="00620320">
              <w:t xml:space="preserve"> </w:t>
            </w:r>
          </w:p>
          <w:p w:rsidR="007058F3" w:rsidRDefault="007058F3" w:rsidP="00B71F65">
            <w:pPr>
              <w:pStyle w:val="PagesBodytext"/>
              <w:numPr>
                <w:ilvl w:val="0"/>
                <w:numId w:val="39"/>
              </w:numPr>
              <w:spacing w:after="0" w:line="240" w:lineRule="auto"/>
            </w:pPr>
            <w:r>
              <w:t>Establishing a clear policy on candidate self-promotion, endorsement by Cochrane leadership groups and the use of official Cochrane news or email channels for this purpose.</w:t>
            </w:r>
          </w:p>
          <w:p w:rsidR="00E96C74" w:rsidRDefault="00E96C74" w:rsidP="00E96C74">
            <w:pPr>
              <w:pStyle w:val="PagesBodytext"/>
              <w:spacing w:after="0" w:line="240" w:lineRule="auto"/>
              <w:ind w:left="765"/>
            </w:pPr>
          </w:p>
          <w:p w:rsidR="00FE0DB5" w:rsidRPr="0092690B" w:rsidRDefault="00CB21A1" w:rsidP="00B71F65">
            <w:pPr>
              <w:pStyle w:val="PagesBodytext"/>
              <w:spacing w:after="0" w:line="240" w:lineRule="auto"/>
            </w:pPr>
            <w:r>
              <w:t xml:space="preserve">Planning has also </w:t>
            </w:r>
            <w:r w:rsidR="00FE7F18">
              <w:t>begun</w:t>
            </w:r>
            <w:r>
              <w:t xml:space="preserve"> for 2017, and a calendar proposed </w:t>
            </w:r>
            <w:r w:rsidR="00FE7F18">
              <w:t>for selection of e</w:t>
            </w:r>
            <w:r>
              <w:t xml:space="preserve">xternal </w:t>
            </w:r>
            <w:r w:rsidR="00FE7F18">
              <w:t xml:space="preserve">Board members, Board </w:t>
            </w:r>
            <w:r>
              <w:t xml:space="preserve">Co-Chairs </w:t>
            </w:r>
            <w:r w:rsidR="00FE7F18">
              <w:t>and the next election of</w:t>
            </w:r>
            <w:r>
              <w:t xml:space="preserve"> internal Board</w:t>
            </w:r>
            <w:r w:rsidR="00FE7F18">
              <w:t xml:space="preserve"> members</w:t>
            </w:r>
            <w:r>
              <w:t>.</w:t>
            </w:r>
          </w:p>
        </w:tc>
      </w:tr>
      <w:tr w:rsidR="008D4918" w:rsidRPr="0092690B" w:rsidTr="008D4918">
        <w:tc>
          <w:tcPr>
            <w:tcW w:w="1396" w:type="pct"/>
          </w:tcPr>
          <w:p w:rsidR="00ED40A3" w:rsidRPr="00211DDD" w:rsidRDefault="00ED40A3" w:rsidP="00B71F65">
            <w:pPr>
              <w:pStyle w:val="PagesSubheading"/>
              <w:numPr>
                <w:ilvl w:val="0"/>
                <w:numId w:val="0"/>
              </w:numPr>
              <w:spacing w:line="240" w:lineRule="auto"/>
            </w:pPr>
            <w:r>
              <w:t>Financial request:</w:t>
            </w:r>
          </w:p>
        </w:tc>
        <w:tc>
          <w:tcPr>
            <w:tcW w:w="3604" w:type="pct"/>
          </w:tcPr>
          <w:p w:rsidR="00CD4B7B" w:rsidRPr="0092690B" w:rsidRDefault="000444C8" w:rsidP="00B71F65">
            <w:pPr>
              <w:pStyle w:val="PagesBodytext"/>
              <w:spacing w:after="0" w:line="240" w:lineRule="auto"/>
            </w:pPr>
            <w:r>
              <w:t>None.</w:t>
            </w:r>
          </w:p>
        </w:tc>
      </w:tr>
    </w:tbl>
    <w:p w:rsidR="00FE7F18" w:rsidRDefault="00FE7F18">
      <w:pPr>
        <w:spacing w:after="200" w:line="276" w:lineRule="auto"/>
        <w:rPr>
          <w:rFonts w:asciiTheme="majorHAnsi" w:hAnsiTheme="majorHAnsi"/>
          <w:color w:val="962D91" w:themeColor="background2"/>
          <w:spacing w:val="-6"/>
          <w:sz w:val="48"/>
          <w:szCs w:val="48"/>
          <w:highlight w:val="lightGray"/>
        </w:rPr>
      </w:pPr>
    </w:p>
    <w:p w:rsidR="00E96C74" w:rsidRDefault="00E96C74">
      <w:pPr>
        <w:spacing w:after="200" w:line="276" w:lineRule="auto"/>
        <w:rPr>
          <w:rFonts w:asciiTheme="majorHAnsi" w:hAnsiTheme="majorHAnsi"/>
          <w:color w:val="962D91" w:themeColor="background2"/>
          <w:spacing w:val="-6"/>
          <w:sz w:val="48"/>
          <w:szCs w:val="48"/>
          <w:highlight w:val="lightGray"/>
        </w:rPr>
      </w:pPr>
    </w:p>
    <w:p w:rsidR="005D4A51" w:rsidRPr="008D4918" w:rsidRDefault="00FE7F18" w:rsidP="00FE7F18">
      <w:pPr>
        <w:pStyle w:val="Heading1"/>
        <w:numPr>
          <w:ilvl w:val="0"/>
          <w:numId w:val="0"/>
        </w:numPr>
        <w:ind w:left="432" w:hanging="432"/>
      </w:pPr>
      <w:r>
        <w:lastRenderedPageBreak/>
        <w:t>1.</w:t>
      </w:r>
      <w:r>
        <w:tab/>
      </w:r>
      <w:r>
        <w:tab/>
      </w:r>
      <w:r w:rsidR="005D4A51" w:rsidRPr="008D4918">
        <w:t>Background:</w:t>
      </w:r>
    </w:p>
    <w:p w:rsidR="00A7382E" w:rsidRDefault="00314842" w:rsidP="00A7382E">
      <w:pPr>
        <w:pStyle w:val="PagesBodytext"/>
      </w:pPr>
      <w:r>
        <w:t>The election for internal members of the Cochrane Governing Board over December 2016-January 2017 was the first to be conducted under the amended Articles of Association and election procedure approved at the Seoul Colloquium in October 2016.</w:t>
      </w:r>
      <w:r w:rsidR="00A7382E">
        <w:t xml:space="preserve"> </w:t>
      </w:r>
      <w:r>
        <w:t>In general, the election ran very smoothly</w:t>
      </w:r>
      <w:r w:rsidR="004E5CFB">
        <w:t>.</w:t>
      </w:r>
    </w:p>
    <w:p w:rsidR="00A7382E" w:rsidRDefault="00A7382E" w:rsidP="00A7382E">
      <w:pPr>
        <w:pStyle w:val="PagesSubheading"/>
      </w:pPr>
      <w:r>
        <w:t>Participation</w:t>
      </w:r>
    </w:p>
    <w:p w:rsidR="00A7382E" w:rsidRDefault="00A7382E" w:rsidP="00A7382E">
      <w:pPr>
        <w:pStyle w:val="PagesBodytext"/>
      </w:pPr>
      <w:r>
        <w:t>High-level demographic information was collected given the Board’s previously expressed interest in the diversity of both candidates and voters.</w:t>
      </w:r>
    </w:p>
    <w:p w:rsidR="00D12867" w:rsidRDefault="00D12867" w:rsidP="00A7382E">
      <w:pPr>
        <w:pStyle w:val="PagesBodytext"/>
      </w:pPr>
      <w:r>
        <w:t>Eleven candidates stood for four available positions. All candidates were resident in high-income countries in Europe, North America and Australia, and eight were resident in countries whose main language is English.</w:t>
      </w:r>
      <w:r w:rsidR="00620320">
        <w:t xml:space="preserve"> </w:t>
      </w:r>
      <w:r w:rsidR="00620320" w:rsidRPr="00B71F65">
        <w:t>Cochrane will continue to encourage more geographic diversity among candidates</w:t>
      </w:r>
      <w:r w:rsidR="00E0225A" w:rsidRPr="00B71F65">
        <w:t xml:space="preserve"> and the Board is asked to provide its suggestions for how Cochrane could provide</w:t>
      </w:r>
      <w:r w:rsidR="00620320" w:rsidRPr="00B71F65">
        <w:t xml:space="preserve"> support to non-English</w:t>
      </w:r>
      <w:r w:rsidR="00E0225A" w:rsidRPr="00B71F65">
        <w:t xml:space="preserve"> candidates</w:t>
      </w:r>
      <w:r w:rsidR="00620320" w:rsidRPr="00B71F65">
        <w:t xml:space="preserve"> to facilitate their participation in </w:t>
      </w:r>
      <w:r w:rsidR="00E0225A" w:rsidRPr="00B71F65">
        <w:t>future elections.</w:t>
      </w:r>
      <w:r w:rsidR="00E0225A">
        <w:t xml:space="preserve"> </w:t>
      </w:r>
    </w:p>
    <w:p w:rsidR="00BD4003" w:rsidRDefault="00BD4003" w:rsidP="004E5CFB">
      <w:pPr>
        <w:pStyle w:val="PagesBodytext"/>
      </w:pPr>
      <w:r>
        <w:t>1</w:t>
      </w:r>
      <w:r w:rsidR="00FE7F18">
        <w:t>,</w:t>
      </w:r>
      <w:r>
        <w:t>223 valid votes were received</w:t>
      </w:r>
      <w:r w:rsidR="004E5CFB">
        <w:t xml:space="preserve">, </w:t>
      </w:r>
      <w:r>
        <w:t xml:space="preserve">compared to </w:t>
      </w:r>
      <w:r w:rsidR="004E5CFB">
        <w:t>732 votes in the 2014 election.</w:t>
      </w:r>
    </w:p>
    <w:tbl>
      <w:tblPr>
        <w:tblStyle w:val="ListTable2-Accent11"/>
        <w:tblW w:w="0" w:type="auto"/>
        <w:tblLook w:val="0620" w:firstRow="1" w:lastRow="0" w:firstColumn="0" w:lastColumn="0" w:noHBand="1" w:noVBand="1"/>
      </w:tblPr>
      <w:tblGrid>
        <w:gridCol w:w="3704"/>
        <w:gridCol w:w="2859"/>
      </w:tblGrid>
      <w:tr w:rsidR="00AD5CA3" w:rsidRPr="004E5CFB" w:rsidTr="005E2228">
        <w:trPr>
          <w:cnfStyle w:val="100000000000" w:firstRow="1" w:lastRow="0" w:firstColumn="0" w:lastColumn="0" w:oddVBand="0" w:evenVBand="0" w:oddHBand="0" w:evenHBand="0" w:firstRowFirstColumn="0" w:firstRowLastColumn="0" w:lastRowFirstColumn="0" w:lastRowLastColumn="0"/>
        </w:trPr>
        <w:tc>
          <w:tcPr>
            <w:tcW w:w="3704" w:type="dxa"/>
          </w:tcPr>
          <w:p w:rsidR="00AD5CA3" w:rsidRPr="004E5CFB" w:rsidRDefault="00AD5CA3" w:rsidP="00987C21">
            <w:pPr>
              <w:pStyle w:val="PagesBodytext"/>
              <w:spacing w:after="120"/>
            </w:pPr>
            <w:r>
              <w:t>Votes by role*</w:t>
            </w:r>
          </w:p>
        </w:tc>
        <w:tc>
          <w:tcPr>
            <w:tcW w:w="2859" w:type="dxa"/>
          </w:tcPr>
          <w:p w:rsidR="00AD5CA3" w:rsidRPr="004E5CFB" w:rsidRDefault="00AD5CA3" w:rsidP="00987C21">
            <w:pPr>
              <w:pStyle w:val="PagesBodytext"/>
              <w:spacing w:after="120"/>
            </w:pPr>
            <w:r>
              <w:t>Votes by region</w:t>
            </w:r>
          </w:p>
        </w:tc>
      </w:tr>
      <w:tr w:rsidR="00AD5CA3" w:rsidRPr="004E5CFB" w:rsidTr="005E2228">
        <w:tc>
          <w:tcPr>
            <w:tcW w:w="3704" w:type="dxa"/>
          </w:tcPr>
          <w:p w:rsidR="00AD5CA3" w:rsidRPr="004E5CFB" w:rsidRDefault="00AD5CA3" w:rsidP="00987C21">
            <w:pPr>
              <w:pStyle w:val="PagesBodytext"/>
              <w:spacing w:after="120"/>
            </w:pPr>
            <w:r w:rsidRPr="004E5CFB">
              <w:t>1</w:t>
            </w:r>
            <w:r w:rsidR="00FE7F18">
              <w:t>,</w:t>
            </w:r>
            <w:r w:rsidRPr="004E5CFB">
              <w:t>019 Authors</w:t>
            </w:r>
          </w:p>
        </w:tc>
        <w:tc>
          <w:tcPr>
            <w:tcW w:w="2859" w:type="dxa"/>
          </w:tcPr>
          <w:p w:rsidR="00AD5CA3" w:rsidRDefault="00AD5CA3" w:rsidP="00987C21">
            <w:pPr>
              <w:pStyle w:val="PagesBodytext"/>
              <w:spacing w:after="120"/>
            </w:pPr>
            <w:r>
              <w:t>655 Europe</w:t>
            </w:r>
          </w:p>
        </w:tc>
      </w:tr>
      <w:tr w:rsidR="00AD5CA3" w:rsidRPr="004E5CFB" w:rsidTr="005E2228">
        <w:tc>
          <w:tcPr>
            <w:tcW w:w="3704" w:type="dxa"/>
          </w:tcPr>
          <w:p w:rsidR="00AD5CA3" w:rsidRPr="004E5CFB" w:rsidRDefault="00AD5CA3" w:rsidP="00987C21">
            <w:pPr>
              <w:pStyle w:val="PagesBodytext"/>
              <w:spacing w:after="120"/>
            </w:pPr>
            <w:r w:rsidRPr="004E5CFB">
              <w:t>315 Editors</w:t>
            </w:r>
            <w:r>
              <w:t xml:space="preserve"> (incl. ME, Co-Ed, others)</w:t>
            </w:r>
          </w:p>
        </w:tc>
        <w:tc>
          <w:tcPr>
            <w:tcW w:w="2859" w:type="dxa"/>
          </w:tcPr>
          <w:p w:rsidR="00AD5CA3" w:rsidRDefault="00AD5CA3" w:rsidP="00987C21">
            <w:pPr>
              <w:pStyle w:val="PagesBodytext"/>
              <w:spacing w:after="120"/>
            </w:pPr>
            <w:r>
              <w:t>191 Asia-Pacific</w:t>
            </w:r>
          </w:p>
        </w:tc>
      </w:tr>
      <w:tr w:rsidR="00AD5CA3" w:rsidRPr="004E5CFB" w:rsidTr="005E2228">
        <w:tc>
          <w:tcPr>
            <w:tcW w:w="3704" w:type="dxa"/>
          </w:tcPr>
          <w:p w:rsidR="00AD5CA3" w:rsidRPr="004E5CFB" w:rsidRDefault="00AD5CA3" w:rsidP="00AD5CA3">
            <w:pPr>
              <w:pStyle w:val="PagesBodytext"/>
              <w:spacing w:after="120"/>
            </w:pPr>
            <w:r>
              <w:t>280 Staff</w:t>
            </w:r>
            <w:r w:rsidR="005E2228">
              <w:t xml:space="preserve"> (including all Groups &amp; CET)</w:t>
            </w:r>
          </w:p>
        </w:tc>
        <w:tc>
          <w:tcPr>
            <w:tcW w:w="2859" w:type="dxa"/>
          </w:tcPr>
          <w:p w:rsidR="00AD5CA3" w:rsidRDefault="00AD5CA3" w:rsidP="00D12867">
            <w:pPr>
              <w:pStyle w:val="PagesBodytext"/>
              <w:spacing w:after="120"/>
            </w:pPr>
            <w:r>
              <w:t>1</w:t>
            </w:r>
            <w:r w:rsidR="00D12867">
              <w:t>71</w:t>
            </w:r>
            <w:r>
              <w:t xml:space="preserve"> North America</w:t>
            </w:r>
          </w:p>
        </w:tc>
      </w:tr>
      <w:tr w:rsidR="00AD5CA3" w:rsidRPr="004E5CFB" w:rsidTr="005E2228">
        <w:tc>
          <w:tcPr>
            <w:tcW w:w="3704" w:type="dxa"/>
          </w:tcPr>
          <w:p w:rsidR="00AD5CA3" w:rsidRPr="004E5CFB" w:rsidRDefault="00AD5CA3" w:rsidP="00AD5CA3">
            <w:pPr>
              <w:pStyle w:val="PagesBodytext"/>
              <w:spacing w:after="120"/>
            </w:pPr>
            <w:r w:rsidRPr="004E5CFB">
              <w:t>2</w:t>
            </w:r>
            <w:r>
              <w:t>42 R</w:t>
            </w:r>
            <w:r w:rsidRPr="004E5CFB">
              <w:t>eferees</w:t>
            </w:r>
          </w:p>
        </w:tc>
        <w:tc>
          <w:tcPr>
            <w:tcW w:w="2859" w:type="dxa"/>
          </w:tcPr>
          <w:p w:rsidR="00AD5CA3" w:rsidRPr="004E5CFB" w:rsidRDefault="00AD5CA3" w:rsidP="00AD5CA3">
            <w:pPr>
              <w:pStyle w:val="PagesBodytext"/>
              <w:spacing w:after="120"/>
            </w:pPr>
            <w:r>
              <w:t>104 Africa &amp; the Middle East</w:t>
            </w:r>
          </w:p>
        </w:tc>
      </w:tr>
      <w:tr w:rsidR="00AD5CA3" w:rsidRPr="004E5CFB" w:rsidTr="005E2228">
        <w:tc>
          <w:tcPr>
            <w:tcW w:w="3704" w:type="dxa"/>
          </w:tcPr>
          <w:p w:rsidR="00AD5CA3" w:rsidRPr="004E5CFB" w:rsidRDefault="00AD5CA3" w:rsidP="00AD5CA3">
            <w:pPr>
              <w:pStyle w:val="PagesBodytext"/>
              <w:spacing w:after="120"/>
            </w:pPr>
            <w:r>
              <w:t>66 T</w:t>
            </w:r>
            <w:r w:rsidRPr="004E5CFB">
              <w:t>ranslators</w:t>
            </w:r>
          </w:p>
        </w:tc>
        <w:tc>
          <w:tcPr>
            <w:tcW w:w="2859" w:type="dxa"/>
          </w:tcPr>
          <w:p w:rsidR="00AD5CA3" w:rsidRDefault="00D12867" w:rsidP="00AD5CA3">
            <w:pPr>
              <w:pStyle w:val="PagesBodytext"/>
              <w:spacing w:after="120"/>
            </w:pPr>
            <w:r>
              <w:t>104</w:t>
            </w:r>
            <w:r w:rsidR="00AD5CA3">
              <w:t xml:space="preserve"> Central &amp; South America</w:t>
            </w:r>
          </w:p>
        </w:tc>
      </w:tr>
      <w:tr w:rsidR="00AD5CA3" w:rsidRPr="004E5CFB" w:rsidTr="005E2228">
        <w:tc>
          <w:tcPr>
            <w:tcW w:w="3704" w:type="dxa"/>
          </w:tcPr>
          <w:p w:rsidR="00AD5CA3" w:rsidRPr="004E5CFB" w:rsidRDefault="00AD5CA3" w:rsidP="00AD5CA3">
            <w:pPr>
              <w:pStyle w:val="PagesBodytext"/>
              <w:spacing w:after="120"/>
            </w:pPr>
            <w:r w:rsidRPr="004E5CFB">
              <w:t xml:space="preserve">55 </w:t>
            </w:r>
            <w:r>
              <w:t>Information Specialists</w:t>
            </w:r>
          </w:p>
        </w:tc>
        <w:tc>
          <w:tcPr>
            <w:tcW w:w="2859" w:type="dxa"/>
          </w:tcPr>
          <w:p w:rsidR="00AD5CA3" w:rsidRPr="004E5CFB" w:rsidRDefault="00AD5CA3" w:rsidP="00AD5CA3">
            <w:pPr>
              <w:pStyle w:val="PagesBodytext"/>
              <w:spacing w:after="120"/>
            </w:pPr>
          </w:p>
        </w:tc>
      </w:tr>
      <w:tr w:rsidR="00AD5CA3" w:rsidRPr="004E5CFB" w:rsidTr="005E2228">
        <w:tc>
          <w:tcPr>
            <w:tcW w:w="3704" w:type="dxa"/>
          </w:tcPr>
          <w:p w:rsidR="00AD5CA3" w:rsidRPr="004E5CFB" w:rsidRDefault="00AD5CA3" w:rsidP="00AD5CA3">
            <w:pPr>
              <w:pStyle w:val="PagesBodytext"/>
              <w:spacing w:after="120"/>
            </w:pPr>
            <w:r>
              <w:t>49 Directors</w:t>
            </w:r>
          </w:p>
        </w:tc>
        <w:tc>
          <w:tcPr>
            <w:tcW w:w="2859" w:type="dxa"/>
          </w:tcPr>
          <w:p w:rsidR="00AD5CA3" w:rsidRDefault="00AD5CA3" w:rsidP="00AD5CA3">
            <w:pPr>
              <w:pStyle w:val="PagesBodytext"/>
              <w:spacing w:after="120"/>
            </w:pPr>
          </w:p>
        </w:tc>
      </w:tr>
      <w:tr w:rsidR="00AD5CA3" w:rsidRPr="004E5CFB" w:rsidTr="005E2228">
        <w:tc>
          <w:tcPr>
            <w:tcW w:w="3704" w:type="dxa"/>
          </w:tcPr>
          <w:p w:rsidR="00AD5CA3" w:rsidRDefault="00AD5CA3" w:rsidP="00AD5CA3">
            <w:pPr>
              <w:pStyle w:val="PagesBodytext"/>
              <w:spacing w:after="120"/>
            </w:pPr>
            <w:r>
              <w:t>38 Consumer referees</w:t>
            </w:r>
          </w:p>
        </w:tc>
        <w:tc>
          <w:tcPr>
            <w:tcW w:w="2859" w:type="dxa"/>
          </w:tcPr>
          <w:p w:rsidR="00AD5CA3" w:rsidRDefault="00AD5CA3" w:rsidP="00AD5CA3">
            <w:pPr>
              <w:pStyle w:val="PagesBodytext"/>
              <w:spacing w:after="120"/>
            </w:pPr>
          </w:p>
        </w:tc>
      </w:tr>
    </w:tbl>
    <w:p w:rsidR="00AD5CA3" w:rsidRPr="00AD5CA3" w:rsidRDefault="00AD5CA3" w:rsidP="00AD5CA3">
      <w:pPr>
        <w:pStyle w:val="PagesBodytext"/>
        <w:rPr>
          <w:sz w:val="21"/>
          <w:szCs w:val="21"/>
        </w:rPr>
      </w:pPr>
      <w:r w:rsidRPr="00AD5CA3">
        <w:rPr>
          <w:sz w:val="21"/>
          <w:szCs w:val="21"/>
        </w:rPr>
        <w:t>* Top 8 roles only. Voters may have more than one of these roles.</w:t>
      </w:r>
    </w:p>
    <w:p w:rsidR="006E0872" w:rsidRPr="006E0872" w:rsidRDefault="006E0872" w:rsidP="006E0872">
      <w:pPr>
        <w:pStyle w:val="BodyText"/>
        <w:rPr>
          <w:rFonts w:asciiTheme="majorHAnsi" w:hAnsiTheme="majorHAnsi"/>
        </w:rPr>
      </w:pPr>
      <w:r w:rsidRPr="006E0872">
        <w:rPr>
          <w:rFonts w:asciiTheme="majorHAnsi" w:hAnsiTheme="majorHAnsi"/>
        </w:rPr>
        <w:t xml:space="preserve">The total </w:t>
      </w:r>
      <w:r>
        <w:rPr>
          <w:rFonts w:asciiTheme="majorHAnsi" w:hAnsiTheme="majorHAnsi"/>
        </w:rPr>
        <w:t>number of eligible voters under the definition used in this election (based on Archie roles) was 44,387. However, these records contain a proportion of out-of-date information that will be resolved when the definition of voter eligibility is updated with introduction of the Cochrane membership scheme in the first quarter of 2017, during which data cleaning will also be conducted.</w:t>
      </w:r>
    </w:p>
    <w:p w:rsidR="00BD4003" w:rsidRDefault="00A7382E" w:rsidP="00F37972">
      <w:pPr>
        <w:pStyle w:val="PagesSubheading"/>
      </w:pPr>
      <w:r>
        <w:t>Voter feedback</w:t>
      </w:r>
    </w:p>
    <w:p w:rsidR="00A7382E" w:rsidRDefault="00A7382E" w:rsidP="00A6726C">
      <w:pPr>
        <w:pStyle w:val="PagesBodytext"/>
      </w:pPr>
      <w:r>
        <w:t>Eighteen queries were received by the Central Executive</w:t>
      </w:r>
      <w:r w:rsidR="00FE0DB5">
        <w:t xml:space="preserve"> Team (CET)</w:t>
      </w:r>
      <w:r>
        <w:t>, the majority of which were queries about login details and eligibility to vote</w:t>
      </w:r>
      <w:r w:rsidR="00A6726C">
        <w:t>, and these were resolved. A further 25 requests to unsubscribe from Cochrane lists were received, which were actioned.</w:t>
      </w:r>
    </w:p>
    <w:p w:rsidR="00A6726C" w:rsidRDefault="00F37972" w:rsidP="00F37972">
      <w:pPr>
        <w:pStyle w:val="PagesBodytext"/>
      </w:pPr>
      <w:r>
        <w:t xml:space="preserve">A small number of </w:t>
      </w:r>
      <w:r w:rsidR="00A6726C">
        <w:t xml:space="preserve">voters expressed confusion with the preferential voting system, </w:t>
      </w:r>
      <w:r>
        <w:t xml:space="preserve">in particular from those resident in countries where preferential voting is not widely used. </w:t>
      </w:r>
      <w:r w:rsidR="00FE0DB5">
        <w:t>It is likely that more voters found the system confusing, but did not raise the issue with the CET. Only around one third of voters took the opportunity to express more than four preferences. In addition, the preferential voting system proved complex and time-consuming to count, in the absence of specialised electoral software.</w:t>
      </w:r>
    </w:p>
    <w:p w:rsidR="00E96C74" w:rsidRDefault="00E96C74" w:rsidP="00F37972">
      <w:pPr>
        <w:pStyle w:val="PagesBodytext"/>
      </w:pPr>
    </w:p>
    <w:p w:rsidR="006717F3" w:rsidRDefault="00650F02" w:rsidP="00650F02">
      <w:pPr>
        <w:pStyle w:val="PagesSubheading"/>
      </w:pPr>
      <w:r>
        <w:lastRenderedPageBreak/>
        <w:t>C</w:t>
      </w:r>
      <w:r w:rsidR="006717F3">
        <w:t>anvassing</w:t>
      </w:r>
      <w:r>
        <w:t xml:space="preserve"> and candidate endorsement</w:t>
      </w:r>
    </w:p>
    <w:p w:rsidR="00301B66" w:rsidRDefault="00301B66" w:rsidP="00301B66">
      <w:pPr>
        <w:pStyle w:val="PagesBodytext"/>
      </w:pPr>
      <w:r>
        <w:t>It was highlighted during the Board election, as well as the election for Author representatives on the Cochrane Council conducted in February/March 2017, that Cochrane lacks a policy on candidates canvassing on their own behalf, and for other groups to endorse or promote candidates. The two scenarios in which this occurred included:</w:t>
      </w:r>
    </w:p>
    <w:p w:rsidR="006717F3" w:rsidRDefault="00EF4709" w:rsidP="00EF4709">
      <w:pPr>
        <w:pStyle w:val="PagesBodytext"/>
        <w:numPr>
          <w:ilvl w:val="0"/>
          <w:numId w:val="44"/>
        </w:numPr>
      </w:pPr>
      <w:r>
        <w:t>C</w:t>
      </w:r>
      <w:r w:rsidR="00301B66">
        <w:t xml:space="preserve">andidates posting promotional messages </w:t>
      </w:r>
      <w:r>
        <w:t xml:space="preserve">about their own candidacy </w:t>
      </w:r>
      <w:r w:rsidR="00301B66">
        <w:t>on Cochrane’s Faceb</w:t>
      </w:r>
      <w:r w:rsidR="00B03E1F">
        <w:t>ook page, which were blocked by the moderator.</w:t>
      </w:r>
    </w:p>
    <w:p w:rsidR="006717F3" w:rsidRDefault="006717F3" w:rsidP="00EF4709">
      <w:pPr>
        <w:pStyle w:val="PagesBodytext"/>
        <w:numPr>
          <w:ilvl w:val="0"/>
          <w:numId w:val="41"/>
        </w:numPr>
      </w:pPr>
      <w:r>
        <w:t xml:space="preserve">Candidates </w:t>
      </w:r>
      <w:r w:rsidR="00EF4709">
        <w:t xml:space="preserve">being </w:t>
      </w:r>
      <w:r>
        <w:t xml:space="preserve">endorsed by </w:t>
      </w:r>
      <w:r w:rsidR="00EF4709">
        <w:t xml:space="preserve">leadership Groups (such as </w:t>
      </w:r>
      <w:r>
        <w:t>Executives</w:t>
      </w:r>
      <w:r w:rsidR="00EF4709">
        <w:t xml:space="preserve">), who then use official Cochrane email lists to recommend a specific candidate to Cochrane </w:t>
      </w:r>
      <w:r w:rsidR="00B03E1F">
        <w:t>members, which were allowed to proceed.</w:t>
      </w:r>
    </w:p>
    <w:p w:rsidR="00FC4DD2" w:rsidRDefault="00EF4709" w:rsidP="00EF4709">
      <w:pPr>
        <w:pStyle w:val="PagesBodytext"/>
      </w:pPr>
      <w:r>
        <w:t>Discussion and debate during an open election sh</w:t>
      </w:r>
      <w:r w:rsidR="00B03E1F">
        <w:t>ould not be stifled, but these</w:t>
      </w:r>
      <w:r>
        <w:t xml:space="preserve"> scenarios present a risk that voters may believe that a specific candidate has been endorsed by Cochrane or the CET, or may feel pressured to vote a specific way when the message comes from an individual or group in authority. This is particularly true if official Cochrane communication channels are used to disseminate the message.</w:t>
      </w:r>
    </w:p>
    <w:p w:rsidR="006250F2" w:rsidRPr="00970D86" w:rsidRDefault="00CB21A1" w:rsidP="00970D86">
      <w:pPr>
        <w:pStyle w:val="PagesSubheading"/>
      </w:pPr>
      <w:r>
        <w:t>2017</w:t>
      </w:r>
      <w:r w:rsidR="006250F2" w:rsidRPr="00970D86">
        <w:t xml:space="preserve"> elections</w:t>
      </w:r>
    </w:p>
    <w:p w:rsidR="00BB3545" w:rsidRDefault="00E0225A" w:rsidP="00BB3545">
      <w:pPr>
        <w:pStyle w:val="PagesBodytext"/>
      </w:pPr>
      <w:r>
        <w:t>In 2017 the</w:t>
      </w:r>
      <w:r w:rsidR="00620320">
        <w:t xml:space="preserve"> Co-Chair and external Board selection processes will remain the same, although the timing of all </w:t>
      </w:r>
      <w:r>
        <w:t>the appointment processes</w:t>
      </w:r>
      <w:r w:rsidR="00620320">
        <w:t xml:space="preserve"> will now be coordinated</w:t>
      </w:r>
      <w:r w:rsidR="003A651D">
        <w:t xml:space="preserve">. The proposal is that the </w:t>
      </w:r>
      <w:r w:rsidR="00CB21A1">
        <w:t>Co-Chair</w:t>
      </w:r>
      <w:r w:rsidR="00DC39D3">
        <w:t xml:space="preserve"> and</w:t>
      </w:r>
      <w:r w:rsidR="00CB21A1">
        <w:t xml:space="preserve"> external Board member selection and internal Board member election</w:t>
      </w:r>
      <w:r w:rsidR="00DC39D3">
        <w:t>s</w:t>
      </w:r>
      <w:r w:rsidR="00CB21A1">
        <w:t xml:space="preserve"> </w:t>
      </w:r>
      <w:r w:rsidR="003A651D">
        <w:t>are</w:t>
      </w:r>
      <w:r w:rsidR="00CB21A1">
        <w:t xml:space="preserve"> held concurrently, under the new Articles and electoral process. </w:t>
      </w:r>
      <w:r w:rsidR="00DC39D3">
        <w:t>The timelines for these processes should allow sufficient time for notification of successful candidates, to ensure that they are able to attend the next Board meeting in Cape Town in September.</w:t>
      </w:r>
    </w:p>
    <w:p w:rsidR="006250F2" w:rsidRPr="005D4A51" w:rsidRDefault="00DC39D3" w:rsidP="00DE3E6E">
      <w:pPr>
        <w:pStyle w:val="PagesBodytext"/>
      </w:pPr>
      <w:r>
        <w:t>The timelines should also allow for the possibility of a candidate running in more than one category (for example, an individual ma</w:t>
      </w:r>
      <w:r w:rsidR="00BB3545">
        <w:t>y</w:t>
      </w:r>
      <w:r>
        <w:t xml:space="preserve"> stand for election as an internal Board member and for the position</w:t>
      </w:r>
      <w:r w:rsidR="00BB3545">
        <w:t xml:space="preserve"> of Co-Chair).</w:t>
      </w:r>
      <w:r w:rsidR="00B277D0">
        <w:t xml:space="preserve"> In the past, these timelines have not been aligned. When a Board member was appointed as Co-Chair, this led to vacancies on the Board that could not be filled until the next election</w:t>
      </w:r>
      <w:r w:rsidR="00DE3E6E">
        <w:t>, which could be up to a year away.</w:t>
      </w:r>
    </w:p>
    <w:p w:rsidR="005D4A51" w:rsidRPr="005D4A51" w:rsidRDefault="00FE7F18" w:rsidP="00CD33BF">
      <w:pPr>
        <w:pStyle w:val="Heading1"/>
      </w:pPr>
      <w:r>
        <w:tab/>
      </w:r>
      <w:r w:rsidR="005D4A51" w:rsidRPr="005D4A51">
        <w:t>Proposal</w:t>
      </w:r>
      <w:r w:rsidR="00BB3545">
        <w:t>s</w:t>
      </w:r>
      <w:r w:rsidR="005D4A51" w:rsidRPr="005D4A51">
        <w:t>:</w:t>
      </w:r>
    </w:p>
    <w:p w:rsidR="00BB3545" w:rsidRDefault="00BB3545" w:rsidP="00BB3545">
      <w:pPr>
        <w:pStyle w:val="PagesSubheading"/>
      </w:pPr>
      <w:r>
        <w:t>Simplification of vote counting procedure</w:t>
      </w:r>
    </w:p>
    <w:p w:rsidR="00BB3545" w:rsidRDefault="00BB3545" w:rsidP="00B277D0">
      <w:pPr>
        <w:pStyle w:val="PagesBodytext"/>
      </w:pPr>
      <w:r>
        <w:t xml:space="preserve">To improve the clarity of the counting procedure for voters, and ensure that the process for vote counting is efficient and sustainable for staff to implement, we propose that the current </w:t>
      </w:r>
      <w:r w:rsidR="00B277D0">
        <w:t>vote counting</w:t>
      </w:r>
      <w:r>
        <w:t xml:space="preserve"> system be replaced with a system in which voters can cast a number of votes equal to the number of vacancies, and each vote has the same weight. The candidates with the highest number of votes will be declared elected.</w:t>
      </w:r>
    </w:p>
    <w:p w:rsidR="00BB3545" w:rsidRDefault="00BB3545" w:rsidP="00BB3545">
      <w:pPr>
        <w:pStyle w:val="PagesBodytext"/>
      </w:pPr>
      <w:r>
        <w:t>This system is not as nuanced as full preferential voting, but has the advantage of being simpler while still allowing voters to express preferences for multiple candidate</w:t>
      </w:r>
      <w:r w:rsidR="00B277D0">
        <w:t>s. Sensitivity analysis of the results of the last election showed that the use of different vote counting systems would not have changed the outcome of the election, although it would have changed the order in which candidates were declared elected.</w:t>
      </w:r>
    </w:p>
    <w:p w:rsidR="00992FE2" w:rsidRDefault="00992FE2" w:rsidP="008635B7">
      <w:pPr>
        <w:pStyle w:val="PagesBodytext"/>
      </w:pPr>
      <w:r>
        <w:t xml:space="preserve">A possible down side of this process is that it is not flexible </w:t>
      </w:r>
      <w:r w:rsidR="008635B7">
        <w:t xml:space="preserve">in terms of the number of votes to be cast </w:t>
      </w:r>
      <w:r>
        <w:t xml:space="preserve">if the number of vacancies changes </w:t>
      </w:r>
      <w:r w:rsidR="008635B7">
        <w:t xml:space="preserve">during the election </w:t>
      </w:r>
      <w:r>
        <w:t xml:space="preserve">(e.g. if one of the candidates is appointed as Co-Chair or a Board member steps down during an election), however, sufficient preferences will be </w:t>
      </w:r>
      <w:r>
        <w:lastRenderedPageBreak/>
        <w:t>generated to allow the selection of additional candidates if needed. The alternative would be to purchase access to an electronic election platform that would automatically count complex preferences.</w:t>
      </w:r>
    </w:p>
    <w:p w:rsidR="00B277D0" w:rsidRDefault="00B277D0" w:rsidP="00B277D0">
      <w:pPr>
        <w:pStyle w:val="PagesSubheading"/>
      </w:pPr>
      <w:r>
        <w:t>Canvassing and candidate endorsement</w:t>
      </w:r>
    </w:p>
    <w:p w:rsidR="00B277D0" w:rsidRDefault="00B277D0" w:rsidP="00B277D0">
      <w:pPr>
        <w:pStyle w:val="PagesBodytext"/>
      </w:pPr>
      <w:r>
        <w:t>We propose the following policy principles be added to the Electoral Procedure:</w:t>
      </w:r>
    </w:p>
    <w:p w:rsidR="00B277D0" w:rsidRDefault="00B277D0" w:rsidP="00B277D0">
      <w:pPr>
        <w:pStyle w:val="PagesBodytext"/>
        <w:numPr>
          <w:ilvl w:val="0"/>
          <w:numId w:val="44"/>
        </w:numPr>
      </w:pPr>
      <w:r>
        <w:t>Any Cochrane individual</w:t>
      </w:r>
      <w:r w:rsidR="003A651D">
        <w:t>, Group or committee</w:t>
      </w:r>
      <w:r>
        <w:t xml:space="preserve"> may encourage members to participate in elections without endorsing a candidate.</w:t>
      </w:r>
    </w:p>
    <w:p w:rsidR="00B277D0" w:rsidRDefault="00B277D0" w:rsidP="00B277D0">
      <w:pPr>
        <w:pStyle w:val="PagesBodytext"/>
        <w:numPr>
          <w:ilvl w:val="0"/>
          <w:numId w:val="44"/>
        </w:numPr>
      </w:pPr>
      <w:r>
        <w:t xml:space="preserve">Cochrane leaders or leadership </w:t>
      </w:r>
      <w:r w:rsidR="003A651D">
        <w:t>committees</w:t>
      </w:r>
      <w:r>
        <w:t xml:space="preserve"> (such as Exe</w:t>
      </w:r>
      <w:r w:rsidR="003A651D">
        <w:t>cutives</w:t>
      </w:r>
      <w:r>
        <w:t>) should not publicly endorse specific candidates.</w:t>
      </w:r>
    </w:p>
    <w:p w:rsidR="00B277D0" w:rsidRDefault="00B277D0" w:rsidP="00B277D0">
      <w:pPr>
        <w:pStyle w:val="PagesBodytext"/>
        <w:numPr>
          <w:ilvl w:val="0"/>
          <w:numId w:val="44"/>
        </w:numPr>
      </w:pPr>
      <w:r>
        <w:t>Official Cochrane communication channels (email lists, Group email addresses, Group social media accounts) should not be used to endorse specific candidates.</w:t>
      </w:r>
    </w:p>
    <w:p w:rsidR="00B277D0" w:rsidRDefault="003A651D" w:rsidP="00B277D0">
      <w:pPr>
        <w:pStyle w:val="PagesBodytext"/>
        <w:numPr>
          <w:ilvl w:val="0"/>
          <w:numId w:val="44"/>
        </w:numPr>
      </w:pPr>
      <w:r>
        <w:t>Candidates may post</w:t>
      </w:r>
      <w:r w:rsidR="00B277D0">
        <w:t xml:space="preserve"> promotional messages</w:t>
      </w:r>
      <w:r>
        <w:t xml:space="preserve"> on their own social media profiles but may not post</w:t>
      </w:r>
      <w:r w:rsidR="00B277D0">
        <w:t xml:space="preserve"> </w:t>
      </w:r>
      <w:r w:rsidR="00E96C74">
        <w:t xml:space="preserve">promotional messages/comments </w:t>
      </w:r>
      <w:r w:rsidR="00B277D0">
        <w:t xml:space="preserve">to Cochrane’s </w:t>
      </w:r>
      <w:r>
        <w:t xml:space="preserve">official </w:t>
      </w:r>
      <w:r w:rsidR="00B277D0">
        <w:t>Facebook account</w:t>
      </w:r>
      <w:r>
        <w:t>.</w:t>
      </w:r>
    </w:p>
    <w:p w:rsidR="00B277D0" w:rsidRDefault="00B277D0" w:rsidP="00B277D0">
      <w:pPr>
        <w:pStyle w:val="PagesBodytext"/>
        <w:numPr>
          <w:ilvl w:val="0"/>
          <w:numId w:val="44"/>
        </w:numPr>
      </w:pPr>
      <w:r>
        <w:t>Tagging of Cochrane’s Twitter account is not moderated, but where election-tags are noted, the administrators will also post a link to general information about the election including all candidates.</w:t>
      </w:r>
    </w:p>
    <w:p w:rsidR="00B277D0" w:rsidRPr="00970D86" w:rsidRDefault="00B277D0" w:rsidP="00B277D0">
      <w:pPr>
        <w:pStyle w:val="PagesSubheading"/>
      </w:pPr>
      <w:r>
        <w:t>2017</w:t>
      </w:r>
      <w:r w:rsidRPr="00970D86">
        <w:t xml:space="preserve"> elections</w:t>
      </w:r>
    </w:p>
    <w:p w:rsidR="00B277D0" w:rsidRDefault="00F90935" w:rsidP="00F90935">
      <w:pPr>
        <w:pStyle w:val="PagesBodytext"/>
      </w:pPr>
      <w:r>
        <w:t>We propose that the selection/election processes for new Board members be conducted according to the following schedule:</w:t>
      </w:r>
    </w:p>
    <w:tbl>
      <w:tblPr>
        <w:tblStyle w:val="ListTable2-Accent11"/>
        <w:tblW w:w="7644" w:type="dxa"/>
        <w:tblLook w:val="0600" w:firstRow="0" w:lastRow="0" w:firstColumn="0" w:lastColumn="0" w:noHBand="1" w:noVBand="1"/>
      </w:tblPr>
      <w:tblGrid>
        <w:gridCol w:w="1560"/>
        <w:gridCol w:w="6084"/>
      </w:tblGrid>
      <w:tr w:rsidR="00F90935" w:rsidRPr="00992FE2" w:rsidTr="00992FE2">
        <w:trPr>
          <w:trHeight w:val="300"/>
        </w:trPr>
        <w:tc>
          <w:tcPr>
            <w:tcW w:w="1560" w:type="dxa"/>
            <w:noWrap/>
            <w:hideMark/>
          </w:tcPr>
          <w:p w:rsidR="00F90935" w:rsidRPr="00F90935" w:rsidRDefault="00F90935" w:rsidP="00992FE2">
            <w:pPr>
              <w:pStyle w:val="PagesBodytext"/>
              <w:spacing w:after="120"/>
            </w:pPr>
            <w:r w:rsidRPr="00F90935">
              <w:t>9-May</w:t>
            </w:r>
          </w:p>
        </w:tc>
        <w:tc>
          <w:tcPr>
            <w:tcW w:w="6084" w:type="dxa"/>
            <w:noWrap/>
            <w:hideMark/>
          </w:tcPr>
          <w:p w:rsidR="00F90935" w:rsidRPr="00F90935" w:rsidRDefault="00F90935" w:rsidP="00992FE2">
            <w:pPr>
              <w:pStyle w:val="PagesBodytext"/>
              <w:spacing w:after="120"/>
            </w:pPr>
            <w:r w:rsidRPr="00F90935">
              <w:t xml:space="preserve">Call for </w:t>
            </w:r>
            <w:r w:rsidRPr="00992FE2">
              <w:t xml:space="preserve">all </w:t>
            </w:r>
            <w:r w:rsidRPr="00F90935">
              <w:t xml:space="preserve">nominations </w:t>
            </w:r>
            <w:r w:rsidRPr="00992FE2">
              <w:t>(</w:t>
            </w:r>
            <w:r w:rsidRPr="00F90935">
              <w:t>Co-Chairs</w:t>
            </w:r>
            <w:r w:rsidR="003A651D">
              <w:t xml:space="preserve"> – appointed by the Board; </w:t>
            </w:r>
            <w:r w:rsidRPr="00F90935">
              <w:t>internal</w:t>
            </w:r>
            <w:r w:rsidR="003A651D">
              <w:t xml:space="preserve"> candidates – elected by the Cochrane electorate;</w:t>
            </w:r>
            <w:r w:rsidRPr="00F90935">
              <w:t xml:space="preserve"> external</w:t>
            </w:r>
            <w:r w:rsidR="003A651D">
              <w:t xml:space="preserve"> candidates - appointed by the Board</w:t>
            </w:r>
            <w:r w:rsidRPr="00992FE2">
              <w:t>)</w:t>
            </w:r>
          </w:p>
        </w:tc>
      </w:tr>
      <w:tr w:rsidR="00F90935" w:rsidRPr="00992FE2" w:rsidTr="00992FE2">
        <w:trPr>
          <w:trHeight w:val="300"/>
        </w:trPr>
        <w:tc>
          <w:tcPr>
            <w:tcW w:w="1560" w:type="dxa"/>
            <w:noWrap/>
            <w:hideMark/>
          </w:tcPr>
          <w:p w:rsidR="00F90935" w:rsidRPr="00F90935" w:rsidRDefault="00F90935" w:rsidP="00992FE2">
            <w:pPr>
              <w:pStyle w:val="PagesBodytext"/>
              <w:spacing w:after="120"/>
            </w:pPr>
            <w:r w:rsidRPr="00F90935">
              <w:t>6-Jul</w:t>
            </w:r>
          </w:p>
        </w:tc>
        <w:tc>
          <w:tcPr>
            <w:tcW w:w="6084" w:type="dxa"/>
            <w:noWrap/>
            <w:hideMark/>
          </w:tcPr>
          <w:p w:rsidR="00F90935" w:rsidRPr="00F90935" w:rsidRDefault="00F90935" w:rsidP="00992FE2">
            <w:pPr>
              <w:pStyle w:val="PagesBodytext"/>
              <w:spacing w:after="120"/>
            </w:pPr>
            <w:r w:rsidRPr="00F90935">
              <w:t>Deadline for nominations</w:t>
            </w:r>
          </w:p>
        </w:tc>
      </w:tr>
      <w:tr w:rsidR="00F90935" w:rsidRPr="00992FE2" w:rsidTr="00992FE2">
        <w:trPr>
          <w:trHeight w:val="300"/>
        </w:trPr>
        <w:tc>
          <w:tcPr>
            <w:tcW w:w="1560" w:type="dxa"/>
            <w:noWrap/>
            <w:hideMark/>
          </w:tcPr>
          <w:p w:rsidR="00F90935" w:rsidRPr="00F90935" w:rsidRDefault="00F90935" w:rsidP="00992FE2">
            <w:pPr>
              <w:pStyle w:val="PagesBodytext"/>
              <w:spacing w:after="120"/>
            </w:pPr>
            <w:r w:rsidRPr="00F90935">
              <w:t>17-Jul</w:t>
            </w:r>
          </w:p>
        </w:tc>
        <w:tc>
          <w:tcPr>
            <w:tcW w:w="6084" w:type="dxa"/>
            <w:noWrap/>
            <w:hideMark/>
          </w:tcPr>
          <w:p w:rsidR="00F90935" w:rsidRPr="00F90935" w:rsidRDefault="003A651D" w:rsidP="00992FE2">
            <w:pPr>
              <w:pStyle w:val="PagesBodytext"/>
              <w:spacing w:after="120"/>
            </w:pPr>
            <w:r>
              <w:t>Voting</w:t>
            </w:r>
            <w:r w:rsidR="00F90935" w:rsidRPr="00F90935">
              <w:t xml:space="preserve"> opens</w:t>
            </w:r>
            <w:r>
              <w:t xml:space="preserve"> for internal candidates</w:t>
            </w:r>
          </w:p>
        </w:tc>
      </w:tr>
      <w:tr w:rsidR="00F90935" w:rsidRPr="00992FE2" w:rsidTr="00992FE2">
        <w:trPr>
          <w:trHeight w:val="300"/>
        </w:trPr>
        <w:tc>
          <w:tcPr>
            <w:tcW w:w="1560" w:type="dxa"/>
            <w:noWrap/>
            <w:hideMark/>
          </w:tcPr>
          <w:p w:rsidR="00F90935" w:rsidRPr="00992FE2" w:rsidRDefault="00F90935" w:rsidP="00992FE2">
            <w:pPr>
              <w:pStyle w:val="PagesBodytext"/>
              <w:spacing w:after="120"/>
            </w:pPr>
            <w:r w:rsidRPr="00F90935">
              <w:t>10-Jul - 4 Aug</w:t>
            </w:r>
          </w:p>
        </w:tc>
        <w:tc>
          <w:tcPr>
            <w:tcW w:w="6084" w:type="dxa"/>
            <w:noWrap/>
            <w:hideMark/>
          </w:tcPr>
          <w:p w:rsidR="00F90935" w:rsidRPr="00F90935" w:rsidRDefault="00F90935" w:rsidP="00992FE2">
            <w:pPr>
              <w:pStyle w:val="PagesBodytext"/>
              <w:spacing w:after="120"/>
            </w:pPr>
            <w:r w:rsidRPr="00F90935">
              <w:t xml:space="preserve">Board </w:t>
            </w:r>
            <w:r w:rsidRPr="00992FE2">
              <w:t>videoconference</w:t>
            </w:r>
            <w:r w:rsidR="00992FE2">
              <w:t xml:space="preserve"> to decide Co-Chairs</w:t>
            </w:r>
            <w:r w:rsidR="003A651D">
              <w:t xml:space="preserve"> and</w:t>
            </w:r>
            <w:r w:rsidR="00992FE2">
              <w:t xml:space="preserve"> e</w:t>
            </w:r>
            <w:r w:rsidRPr="00F90935">
              <w:t xml:space="preserve">xternal </w:t>
            </w:r>
            <w:r w:rsidRPr="00992FE2">
              <w:t>members</w:t>
            </w:r>
            <w:r w:rsidR="006D0352">
              <w:t xml:space="preserve"> from candidates standing</w:t>
            </w:r>
          </w:p>
        </w:tc>
      </w:tr>
      <w:tr w:rsidR="00F90935" w:rsidRPr="00992FE2" w:rsidTr="00992FE2">
        <w:trPr>
          <w:trHeight w:val="300"/>
        </w:trPr>
        <w:tc>
          <w:tcPr>
            <w:tcW w:w="1560" w:type="dxa"/>
            <w:noWrap/>
            <w:hideMark/>
          </w:tcPr>
          <w:p w:rsidR="00F90935" w:rsidRPr="00F90935" w:rsidRDefault="00F90935" w:rsidP="00992FE2">
            <w:pPr>
              <w:pStyle w:val="PagesBodytext"/>
              <w:spacing w:after="120"/>
            </w:pPr>
            <w:r w:rsidRPr="00F90935">
              <w:t>7-Aug</w:t>
            </w:r>
          </w:p>
        </w:tc>
        <w:tc>
          <w:tcPr>
            <w:tcW w:w="6084" w:type="dxa"/>
            <w:noWrap/>
            <w:hideMark/>
          </w:tcPr>
          <w:p w:rsidR="00F90935" w:rsidRPr="00F90935" w:rsidRDefault="00F90935" w:rsidP="00992FE2">
            <w:pPr>
              <w:pStyle w:val="PagesBodytext"/>
              <w:spacing w:after="120"/>
            </w:pPr>
            <w:r w:rsidRPr="00992FE2">
              <w:t xml:space="preserve">Close of </w:t>
            </w:r>
            <w:r w:rsidRPr="00F90935">
              <w:t>vot</w:t>
            </w:r>
            <w:r w:rsidR="003A651D">
              <w:t xml:space="preserve">ing for internal candidates </w:t>
            </w:r>
          </w:p>
        </w:tc>
      </w:tr>
      <w:tr w:rsidR="00F90935" w:rsidRPr="00992FE2" w:rsidTr="00992FE2">
        <w:trPr>
          <w:trHeight w:val="300"/>
        </w:trPr>
        <w:tc>
          <w:tcPr>
            <w:tcW w:w="1560" w:type="dxa"/>
            <w:noWrap/>
            <w:hideMark/>
          </w:tcPr>
          <w:p w:rsidR="00F90935" w:rsidRPr="00F90935" w:rsidRDefault="00F90935" w:rsidP="00992FE2">
            <w:pPr>
              <w:pStyle w:val="PagesBodytext"/>
              <w:spacing w:after="120"/>
            </w:pPr>
            <w:r w:rsidRPr="00F90935">
              <w:t>11-Aug</w:t>
            </w:r>
          </w:p>
        </w:tc>
        <w:tc>
          <w:tcPr>
            <w:tcW w:w="6084" w:type="dxa"/>
            <w:noWrap/>
            <w:hideMark/>
          </w:tcPr>
          <w:p w:rsidR="00F90935" w:rsidRPr="00F90935" w:rsidRDefault="00F90935" w:rsidP="00992FE2">
            <w:pPr>
              <w:pStyle w:val="PagesBodytext"/>
              <w:spacing w:after="120"/>
            </w:pPr>
            <w:r w:rsidRPr="00F90935">
              <w:t xml:space="preserve">Announcement of </w:t>
            </w:r>
            <w:r w:rsidRPr="00992FE2">
              <w:t>all</w:t>
            </w:r>
            <w:r w:rsidRPr="00F90935">
              <w:t xml:space="preserve"> results</w:t>
            </w:r>
          </w:p>
        </w:tc>
      </w:tr>
      <w:tr w:rsidR="00535273" w:rsidRPr="00992FE2" w:rsidTr="00992FE2">
        <w:trPr>
          <w:trHeight w:val="300"/>
        </w:trPr>
        <w:tc>
          <w:tcPr>
            <w:tcW w:w="1560" w:type="dxa"/>
            <w:noWrap/>
          </w:tcPr>
          <w:p w:rsidR="00535273" w:rsidRPr="00992FE2" w:rsidRDefault="00535273" w:rsidP="00992FE2">
            <w:pPr>
              <w:pStyle w:val="PagesBodytext"/>
              <w:spacing w:after="120"/>
            </w:pPr>
            <w:r w:rsidRPr="00992FE2">
              <w:t>9-11 Sep</w:t>
            </w:r>
          </w:p>
        </w:tc>
        <w:tc>
          <w:tcPr>
            <w:tcW w:w="6084" w:type="dxa"/>
            <w:noWrap/>
          </w:tcPr>
          <w:p w:rsidR="00535273" w:rsidRPr="00992FE2" w:rsidRDefault="00535273" w:rsidP="00992FE2">
            <w:pPr>
              <w:pStyle w:val="PagesBodytext"/>
              <w:spacing w:after="120"/>
            </w:pPr>
            <w:r w:rsidRPr="00992FE2">
              <w:t>New members take up positions at Cape Town</w:t>
            </w:r>
          </w:p>
        </w:tc>
      </w:tr>
    </w:tbl>
    <w:p w:rsidR="00992FE2" w:rsidRDefault="00992FE2" w:rsidP="00F90935">
      <w:pPr>
        <w:pStyle w:val="PagesBodytext"/>
      </w:pPr>
    </w:p>
    <w:p w:rsidR="00F90935" w:rsidRDefault="00992FE2" w:rsidP="00992FE2">
      <w:pPr>
        <w:pStyle w:val="PagesBodytext"/>
      </w:pPr>
      <w:r>
        <w:t>This timeline would enable all processes to be conducted simultaneously, which is efficient from an administrative and communications perspective. The Board can meet to make decisions about the selection of Co-Chairs and external members while the voting process for internal members continues.</w:t>
      </w:r>
    </w:p>
    <w:p w:rsidR="00992FE2" w:rsidRDefault="00992FE2" w:rsidP="003C6395">
      <w:pPr>
        <w:pStyle w:val="PagesBodytext"/>
      </w:pPr>
      <w:r>
        <w:t>In the event that either a sitting Board member or a candidate in the current election is appointed to the position of Co-Chair, this decision is made before voting closes</w:t>
      </w:r>
      <w:r w:rsidR="003C6395">
        <w:t>. This</w:t>
      </w:r>
      <w:r>
        <w:t xml:space="preserve"> allows a replacement Board member to be elected from the field standing for internal election (this is already provided for in the Electoral Procedure).</w:t>
      </w:r>
    </w:p>
    <w:p w:rsidR="003C6395" w:rsidRDefault="003C6395" w:rsidP="003C6395">
      <w:pPr>
        <w:pStyle w:val="PagesBodytext"/>
      </w:pPr>
      <w:r>
        <w:t>The alternatives to this timeline would be:</w:t>
      </w:r>
    </w:p>
    <w:p w:rsidR="003C6395" w:rsidRDefault="003C6395" w:rsidP="003C6395">
      <w:pPr>
        <w:pStyle w:val="PagesBodytext"/>
        <w:numPr>
          <w:ilvl w:val="0"/>
          <w:numId w:val="48"/>
        </w:numPr>
      </w:pPr>
      <w:r>
        <w:lastRenderedPageBreak/>
        <w:t>Running the Co-Chair and external Board member selection process before the internal election, which would mean running this process over April/May and providing less time for the call for nominations.</w:t>
      </w:r>
    </w:p>
    <w:p w:rsidR="003C6395" w:rsidRDefault="003C6395" w:rsidP="003C6395">
      <w:pPr>
        <w:pStyle w:val="PagesBodytext"/>
        <w:numPr>
          <w:ilvl w:val="0"/>
          <w:numId w:val="48"/>
        </w:numPr>
      </w:pPr>
      <w:r>
        <w:t xml:space="preserve">Running the Co-Chair </w:t>
      </w:r>
      <w:r w:rsidR="00620320">
        <w:t>selection</w:t>
      </w:r>
      <w:r w:rsidR="00E96C74">
        <w:t xml:space="preserve"> </w:t>
      </w:r>
      <w:r w:rsidR="00FE7F18">
        <w:t>after the internal election. This could be decided by the Board via teleconference and electronic remote voting; or in person in Cape Town. This</w:t>
      </w:r>
      <w:r>
        <w:t xml:space="preserve"> would require very short timelines and </w:t>
      </w:r>
      <w:r w:rsidR="00FE7F18">
        <w:t xml:space="preserve">– for the latter option – may </w:t>
      </w:r>
      <w:r>
        <w:t xml:space="preserve">mean that the candidates for Co-Chair could not take up their position in Cape Town. Any vacancies on the Board would </w:t>
      </w:r>
      <w:r w:rsidR="00FE7F18">
        <w:t xml:space="preserve">also </w:t>
      </w:r>
      <w:r>
        <w:t>not be filled until the election in 2018.</w:t>
      </w:r>
    </w:p>
    <w:p w:rsidR="005D4A51" w:rsidRPr="005D4A51" w:rsidRDefault="005D4A51" w:rsidP="005D4A51">
      <w:pPr>
        <w:pStyle w:val="PagesSubheading"/>
        <w:numPr>
          <w:ilvl w:val="1"/>
          <w:numId w:val="32"/>
        </w:numPr>
      </w:pPr>
      <w:r w:rsidRPr="005D4A51">
        <w:t xml:space="preserve">Measures of success: </w:t>
      </w:r>
    </w:p>
    <w:p w:rsidR="005D4A51" w:rsidRPr="005D4A51" w:rsidRDefault="003C6395" w:rsidP="003C6395">
      <w:pPr>
        <w:pStyle w:val="PagesBodytext"/>
      </w:pPr>
      <w:r>
        <w:t>Outcomes should include reduced confusion among voters, a reduced administrative burden in running and counting elections, clarity of communication policies that all Members can follow, and an overall smooth election process in 2018.</w:t>
      </w:r>
    </w:p>
    <w:p w:rsidR="005D4A51" w:rsidRPr="005D4A51" w:rsidRDefault="005D4A51" w:rsidP="005D4A51">
      <w:pPr>
        <w:pStyle w:val="PagesSubheading"/>
        <w:numPr>
          <w:ilvl w:val="1"/>
          <w:numId w:val="32"/>
        </w:numPr>
      </w:pPr>
      <w:r w:rsidRPr="005D4A51">
        <w:t xml:space="preserve">Issues and strategic implications: </w:t>
      </w:r>
    </w:p>
    <w:p w:rsidR="005D4A51" w:rsidRPr="00B71F65" w:rsidRDefault="005D4A51" w:rsidP="005D4A51">
      <w:pPr>
        <w:pStyle w:val="PagesSubheadsmall"/>
        <w:numPr>
          <w:ilvl w:val="2"/>
          <w:numId w:val="35"/>
        </w:numPr>
        <w:rPr>
          <w:b/>
        </w:rPr>
      </w:pPr>
      <w:r w:rsidRPr="00B71F65">
        <w:rPr>
          <w:b/>
        </w:rPr>
        <w:t>Strategy Implications:</w:t>
      </w:r>
    </w:p>
    <w:p w:rsidR="005D4A51" w:rsidRPr="005D4A51" w:rsidRDefault="003C6395" w:rsidP="005D4A51">
      <w:pPr>
        <w:pStyle w:val="PagesBodytext"/>
      </w:pPr>
      <w:r>
        <w:t xml:space="preserve">These proposals are aligned with the </w:t>
      </w:r>
      <w:r w:rsidRPr="00B71F65">
        <w:rPr>
          <w:i/>
        </w:rPr>
        <w:t>Strategy to 2020</w:t>
      </w:r>
      <w:r>
        <w:t xml:space="preserve"> Goal 4, Objective 6: Transparently Governed.</w:t>
      </w:r>
    </w:p>
    <w:p w:rsidR="005D4A51" w:rsidRPr="00B71F65" w:rsidRDefault="005D4A51" w:rsidP="005D4A51">
      <w:pPr>
        <w:pStyle w:val="PagesSubheadsmall"/>
        <w:numPr>
          <w:ilvl w:val="2"/>
          <w:numId w:val="35"/>
        </w:numPr>
        <w:rPr>
          <w:b/>
        </w:rPr>
      </w:pPr>
      <w:r w:rsidRPr="00B71F65">
        <w:rPr>
          <w:b/>
        </w:rPr>
        <w:t>Resource implications:</w:t>
      </w:r>
    </w:p>
    <w:p w:rsidR="005D4A51" w:rsidRPr="005D4A51" w:rsidRDefault="003C6395" w:rsidP="005D4A51">
      <w:pPr>
        <w:pStyle w:val="PagesBodytext"/>
      </w:pPr>
      <w:r>
        <w:t>None.</w:t>
      </w:r>
    </w:p>
    <w:p w:rsidR="005D4A51" w:rsidRPr="00B71F65" w:rsidRDefault="005D4A51" w:rsidP="005D4A51">
      <w:pPr>
        <w:pStyle w:val="PagesSubheadsmall"/>
        <w:numPr>
          <w:ilvl w:val="2"/>
          <w:numId w:val="35"/>
        </w:numPr>
        <w:rPr>
          <w:b/>
        </w:rPr>
      </w:pPr>
      <w:r w:rsidRPr="00B71F65">
        <w:rPr>
          <w:b/>
        </w:rPr>
        <w:t>Risks and dependencies:</w:t>
      </w:r>
    </w:p>
    <w:p w:rsidR="005D4A51" w:rsidRPr="005D4A51" w:rsidRDefault="003C6395" w:rsidP="003C6395">
      <w:pPr>
        <w:pStyle w:val="PagesBodytext"/>
      </w:pPr>
      <w:r>
        <w:t>The dependency across all selection/election proces</w:t>
      </w:r>
      <w:bookmarkStart w:id="0" w:name="_GoBack"/>
      <w:bookmarkEnd w:id="0"/>
      <w:r>
        <w:t>s in 2018 will be good communication to ensure that all prospective candidates and voters are clear on the policies and timelines in place.</w:t>
      </w:r>
    </w:p>
    <w:p w:rsidR="005D4A51" w:rsidRPr="00B71F65" w:rsidRDefault="005D4A51" w:rsidP="0045011D">
      <w:pPr>
        <w:pStyle w:val="PagesSubheadsmall"/>
        <w:numPr>
          <w:ilvl w:val="2"/>
          <w:numId w:val="35"/>
        </w:numPr>
        <w:rPr>
          <w:b/>
        </w:rPr>
      </w:pPr>
      <w:r w:rsidRPr="00B71F65">
        <w:rPr>
          <w:b/>
        </w:rPr>
        <w:t>Impact and change management</w:t>
      </w:r>
      <w:r w:rsidR="0045011D" w:rsidRPr="00B71F65">
        <w:rPr>
          <w:b/>
        </w:rPr>
        <w:t>:</w:t>
      </w:r>
    </w:p>
    <w:p w:rsidR="005D4A51" w:rsidRPr="005D4A51" w:rsidRDefault="004E547B" w:rsidP="005D4A51">
      <w:pPr>
        <w:pStyle w:val="PagesBodytext"/>
      </w:pPr>
      <w:r>
        <w:t>This will represent a minor change to procedure for most members, and can be managed by good communication.</w:t>
      </w:r>
    </w:p>
    <w:p w:rsidR="005D4A51" w:rsidRPr="00B71F65" w:rsidRDefault="005D4A51" w:rsidP="0045011D">
      <w:pPr>
        <w:pStyle w:val="PagesSubheadsmall"/>
        <w:numPr>
          <w:ilvl w:val="2"/>
          <w:numId w:val="35"/>
        </w:numPr>
        <w:rPr>
          <w:b/>
        </w:rPr>
      </w:pPr>
      <w:r w:rsidRPr="00B71F65">
        <w:rPr>
          <w:b/>
        </w:rPr>
        <w:t>Timelines</w:t>
      </w:r>
      <w:r w:rsidR="0045011D" w:rsidRPr="00B71F65">
        <w:rPr>
          <w:b/>
        </w:rPr>
        <w:t>:</w:t>
      </w:r>
    </w:p>
    <w:p w:rsidR="005D4A51" w:rsidRDefault="004E547B" w:rsidP="005D4A51">
      <w:pPr>
        <w:pStyle w:val="PagesBodytext"/>
      </w:pPr>
      <w:r>
        <w:t>Changes to be adopted immediately and implemented in the 2017 selection/election processes.</w:t>
      </w:r>
    </w:p>
    <w:p w:rsidR="005D4A51" w:rsidRPr="00B71F65" w:rsidRDefault="005D4A51" w:rsidP="00F47D90">
      <w:pPr>
        <w:pStyle w:val="PagesSubheadsmall"/>
        <w:numPr>
          <w:ilvl w:val="2"/>
          <w:numId w:val="35"/>
        </w:numPr>
        <w:rPr>
          <w:b/>
        </w:rPr>
      </w:pPr>
      <w:r w:rsidRPr="00B71F65">
        <w:rPr>
          <w:b/>
        </w:rPr>
        <w:t>Management Responsibility</w:t>
      </w:r>
      <w:r w:rsidR="00F47D90" w:rsidRPr="00B71F65">
        <w:rPr>
          <w:b/>
        </w:rPr>
        <w:t>:</w:t>
      </w:r>
    </w:p>
    <w:p w:rsidR="005D4A51" w:rsidRPr="005D4A51" w:rsidRDefault="004E547B" w:rsidP="005D4A51">
      <w:pPr>
        <w:pStyle w:val="PagesBodytext"/>
      </w:pPr>
      <w:r>
        <w:t>Lucie Binder has direct responsibility for these processes.</w:t>
      </w:r>
    </w:p>
    <w:p w:rsidR="005D4A51" w:rsidRPr="00B71F65" w:rsidRDefault="005D4A51" w:rsidP="00F47D90">
      <w:pPr>
        <w:pStyle w:val="PagesSubheadsmall"/>
        <w:numPr>
          <w:ilvl w:val="2"/>
          <w:numId w:val="35"/>
        </w:numPr>
        <w:rPr>
          <w:b/>
        </w:rPr>
      </w:pPr>
      <w:r w:rsidRPr="00B71F65">
        <w:rPr>
          <w:b/>
        </w:rPr>
        <w:t xml:space="preserve">Consultation: </w:t>
      </w:r>
    </w:p>
    <w:p w:rsidR="005D4A51" w:rsidRDefault="004E547B" w:rsidP="006D0352">
      <w:pPr>
        <w:pStyle w:val="PagesBodytext"/>
        <w:spacing w:after="0"/>
      </w:pPr>
      <w:r>
        <w:t>Miranda Cumpston, Head of Learning &amp; Support</w:t>
      </w:r>
    </w:p>
    <w:p w:rsidR="004E547B" w:rsidRDefault="004E547B" w:rsidP="006D0352">
      <w:pPr>
        <w:pStyle w:val="PagesBodytext"/>
        <w:spacing w:after="0"/>
      </w:pPr>
      <w:r>
        <w:t>Lucie Binder, Senior Advisor to the CEO</w:t>
      </w:r>
    </w:p>
    <w:p w:rsidR="004E547B" w:rsidRPr="005D4A51" w:rsidRDefault="004E547B" w:rsidP="006D0352">
      <w:pPr>
        <w:pStyle w:val="PagesBodytext"/>
        <w:spacing w:after="0"/>
      </w:pPr>
      <w:r>
        <w:t>Mark Wilson, CEO</w:t>
      </w:r>
    </w:p>
    <w:p w:rsidR="005D4A51" w:rsidRPr="005D4A51" w:rsidRDefault="005D4A51" w:rsidP="005D4A51">
      <w:pPr>
        <w:pStyle w:val="PagesBodytext"/>
      </w:pPr>
    </w:p>
    <w:p w:rsidR="005D4A51" w:rsidRPr="005D4A51" w:rsidRDefault="005D4A51" w:rsidP="00F47D90">
      <w:pPr>
        <w:pStyle w:val="Heading1"/>
      </w:pPr>
      <w:r w:rsidRPr="005D4A51">
        <w:t>Recommendation(s):</w:t>
      </w:r>
    </w:p>
    <w:p w:rsidR="00626803" w:rsidRDefault="00E96C74" w:rsidP="00626803">
      <w:pPr>
        <w:pStyle w:val="PagesBodytext"/>
        <w:spacing w:after="0"/>
      </w:pPr>
      <w:r>
        <w:t>The a</w:t>
      </w:r>
      <w:r w:rsidR="00626803">
        <w:t>uthors</w:t>
      </w:r>
      <w:r>
        <w:t xml:space="preserve"> of this document</w:t>
      </w:r>
      <w:r w:rsidR="00626803">
        <w:t xml:space="preserve"> recommend that the Governing Board supports the proposals listed above, namely that the Board:</w:t>
      </w:r>
    </w:p>
    <w:p w:rsidR="00626803" w:rsidRDefault="00626803" w:rsidP="00626803">
      <w:pPr>
        <w:pStyle w:val="PagesBodytext"/>
        <w:spacing w:after="0"/>
      </w:pPr>
    </w:p>
    <w:p w:rsidR="00626803" w:rsidRDefault="00626803" w:rsidP="00626803">
      <w:pPr>
        <w:pStyle w:val="PagesBodytext"/>
        <w:numPr>
          <w:ilvl w:val="0"/>
          <w:numId w:val="50"/>
        </w:numPr>
        <w:spacing w:after="0"/>
      </w:pPr>
      <w:r>
        <w:t>Approves the recommended changes to the electoral procedures for Governing Board elections;</w:t>
      </w:r>
    </w:p>
    <w:p w:rsidR="00626803" w:rsidRDefault="00626803" w:rsidP="00626803">
      <w:pPr>
        <w:pStyle w:val="PagesBodytext"/>
        <w:numPr>
          <w:ilvl w:val="0"/>
          <w:numId w:val="50"/>
        </w:numPr>
        <w:spacing w:after="0"/>
      </w:pPr>
      <w:r>
        <w:t>Approves the proposed timelines for elections to be conducted in 2017;</w:t>
      </w:r>
    </w:p>
    <w:p w:rsidR="00590542" w:rsidRDefault="006D0352" w:rsidP="00626803">
      <w:pPr>
        <w:pStyle w:val="PagesBodytext"/>
        <w:numPr>
          <w:ilvl w:val="0"/>
          <w:numId w:val="50"/>
        </w:numPr>
        <w:spacing w:after="0"/>
      </w:pPr>
      <w:r>
        <w:t>Gives</w:t>
      </w:r>
      <w:r w:rsidR="00626803">
        <w:t xml:space="preserve"> suggestions fo</w:t>
      </w:r>
      <w:r w:rsidR="00626803" w:rsidRPr="00626803">
        <w:t>r how Cochrane could provide support to non-English candidates to facilitate their participation in future elections</w:t>
      </w:r>
      <w:r>
        <w:t>.</w:t>
      </w:r>
    </w:p>
    <w:sectPr w:rsidR="00590542" w:rsidSect="00BE0BF4">
      <w:headerReference w:type="default" r:id="rId8"/>
      <w:footerReference w:type="default" r:id="rId9"/>
      <w:headerReference w:type="first" r:id="rId10"/>
      <w:pgSz w:w="11906" w:h="16838" w:code="9"/>
      <w:pgMar w:top="1701" w:right="1134" w:bottom="1134" w:left="1134" w:header="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FF2" w:rsidRDefault="00507FF2" w:rsidP="001440A0">
      <w:r>
        <w:separator/>
      </w:r>
    </w:p>
  </w:endnote>
  <w:endnote w:type="continuationSeparator" w:id="0">
    <w:p w:rsidR="00507FF2" w:rsidRDefault="00507FF2"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Source Sans Pro">
    <w:panose1 w:val="020B0503030403020204"/>
    <w:charset w:val="00"/>
    <w:family w:val="swiss"/>
    <w:notTrueType/>
    <w:pitch w:val="variable"/>
    <w:sig w:usb0="20000007" w:usb1="00000001" w:usb2="00000000" w:usb3="00000000" w:csb0="00000193" w:csb1="00000000"/>
  </w:font>
  <w:font w:name="Source Sans Pro Semibold">
    <w:panose1 w:val="020B0603030403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862157"/>
      <w:docPartObj>
        <w:docPartGallery w:val="Page Numbers (Bottom of Page)"/>
        <w:docPartUnique/>
      </w:docPartObj>
    </w:sdtPr>
    <w:sdtEndPr>
      <w:rPr>
        <w:noProof/>
      </w:rPr>
    </w:sdtEndPr>
    <w:sdtContent>
      <w:p w:rsidR="002844D1" w:rsidRDefault="002844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D40A3" w:rsidRDefault="00ED4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FF2" w:rsidRDefault="00507FF2" w:rsidP="001440A0">
      <w:r>
        <w:separator/>
      </w:r>
    </w:p>
  </w:footnote>
  <w:footnote w:type="continuationSeparator" w:id="0">
    <w:p w:rsidR="00507FF2" w:rsidRDefault="00507FF2" w:rsidP="0014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4D1" w:rsidRDefault="002844D1" w:rsidP="002844D1">
    <w:pPr>
      <w:pStyle w:val="Header"/>
    </w:pPr>
  </w:p>
  <w:p w:rsidR="002844D1" w:rsidRDefault="002844D1" w:rsidP="002844D1">
    <w:pPr>
      <w:pStyle w:val="Header"/>
    </w:pPr>
    <w:r>
      <w:rPr>
        <w:sz w:val="22"/>
        <w:szCs w:val="22"/>
      </w:rPr>
      <w:t>OPEN ACCESS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F4" w:rsidRPr="002844D1" w:rsidRDefault="002844D1" w:rsidP="002844D1">
    <w:pPr>
      <w:pStyle w:val="LongTitle"/>
      <w:tabs>
        <w:tab w:val="left" w:pos="4275"/>
      </w:tabs>
      <w:jc w:val="center"/>
      <w:rPr>
        <w:sz w:val="22"/>
        <w:szCs w:val="22"/>
      </w:rPr>
    </w:pPr>
    <w:r>
      <w:rPr>
        <w:sz w:val="22"/>
        <w:szCs w:val="22"/>
      </w:rPr>
      <w:t>OPEN ACCESS</w:t>
    </w:r>
  </w:p>
  <w:p w:rsidR="00BE0BF4" w:rsidRDefault="00BE0BF4" w:rsidP="00BE0BF4">
    <w:pPr>
      <w:pStyle w:val="LongTitle"/>
    </w:pPr>
    <w:r w:rsidRPr="005D4A51">
      <w:rPr>
        <w:rFonts w:asciiTheme="minorHAnsi" w:hAnsiTheme="minorHAnsi"/>
        <w:b w:val="0"/>
        <w:noProof/>
        <w:color w:val="auto"/>
        <w:sz w:val="22"/>
        <w:szCs w:val="22"/>
        <w:lang w:eastAsia="en-GB"/>
      </w:rPr>
      <w:drawing>
        <wp:anchor distT="0" distB="0" distL="114300" distR="114300" simplePos="0" relativeHeight="251659264" behindDoc="0" locked="0" layoutInCell="1" allowOverlap="1" wp14:anchorId="6EC57B2B" wp14:editId="7A9AA3F6">
          <wp:simplePos x="0" y="0"/>
          <wp:positionH relativeFrom="column">
            <wp:posOffset>10160</wp:posOffset>
          </wp:positionH>
          <wp:positionV relativeFrom="paragraph">
            <wp:posOffset>125994</wp:posOffset>
          </wp:positionV>
          <wp:extent cx="3023235" cy="624840"/>
          <wp:effectExtent l="0" t="0" r="0" b="1016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3235" cy="624840"/>
                  </a:xfrm>
                  <a:prstGeom prst="rect">
                    <a:avLst/>
                  </a:prstGeom>
                </pic:spPr>
              </pic:pic>
            </a:graphicData>
          </a:graphic>
          <wp14:sizeRelH relativeFrom="page">
            <wp14:pctWidth>0</wp14:pctWidth>
          </wp14:sizeRelH>
          <wp14:sizeRelV relativeFrom="page">
            <wp14:pctHeight>0</wp14:pctHeight>
          </wp14:sizeRelV>
        </wp:anchor>
      </w:drawing>
    </w:r>
  </w:p>
  <w:p w:rsidR="00BE0BF4" w:rsidRDefault="00BE0BF4" w:rsidP="00BE0BF4">
    <w:pPr>
      <w:pStyle w:val="LongTitle"/>
    </w:pPr>
  </w:p>
  <w:p w:rsidR="00BE0BF4" w:rsidRDefault="00BE0BF4" w:rsidP="00BE0BF4">
    <w:pPr>
      <w:pStyle w:val="LongTitle"/>
    </w:pPr>
  </w:p>
  <w:p w:rsidR="00BE0BF4" w:rsidRDefault="00BE0BF4" w:rsidP="00BE0BF4">
    <w:pPr>
      <w:pStyle w:val="LongTitle"/>
    </w:pPr>
    <w:r w:rsidRPr="00670E73">
      <w:t xml:space="preserve">Governing Board </w:t>
    </w:r>
    <w:r>
      <w:t xml:space="preserve">Paper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612CC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D58E8B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206C53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F547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CD649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3F4431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C38AE2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2CAF1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D94D0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798782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9A8BE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91C0A"/>
    <w:multiLevelType w:val="multilevel"/>
    <w:tmpl w:val="9E18738A"/>
    <w:lvl w:ilvl="0">
      <w:start w:val="1"/>
      <w:numFmt w:val="decimal"/>
      <w:pStyle w:val="Heading1"/>
      <w:lvlText w:val="%1"/>
      <w:lvlJc w:val="left"/>
      <w:pPr>
        <w:ind w:left="4968" w:hanging="432"/>
      </w:pPr>
      <w:rPr>
        <w:rFonts w:hint="default"/>
      </w:rPr>
    </w:lvl>
    <w:lvl w:ilvl="1">
      <w:start w:val="1"/>
      <w:numFmt w:val="decimal"/>
      <w:pStyle w:val="PagesSubheading"/>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018B6BB7"/>
    <w:multiLevelType w:val="multilevel"/>
    <w:tmpl w:val="84006FB2"/>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3" w15:restartNumberingAfterBreak="0">
    <w:nsid w:val="082522DF"/>
    <w:multiLevelType w:val="hybridMultilevel"/>
    <w:tmpl w:val="8B98DE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D6B72EA"/>
    <w:multiLevelType w:val="multilevel"/>
    <w:tmpl w:val="3BDE423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0E202633"/>
    <w:multiLevelType w:val="hybridMultilevel"/>
    <w:tmpl w:val="8B98DE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E6B5601"/>
    <w:multiLevelType w:val="hybridMultilevel"/>
    <w:tmpl w:val="564AAE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3584A09"/>
    <w:multiLevelType w:val="hybridMultilevel"/>
    <w:tmpl w:val="5D7A67C6"/>
    <w:lvl w:ilvl="0" w:tplc="FE6E5E5C">
      <w:start w:val="1"/>
      <w:numFmt w:val="bullet"/>
      <w:pStyle w:val="PagesBulletpoints"/>
      <w:lvlText w:val=""/>
      <w:lvlJc w:val="left"/>
      <w:pPr>
        <w:ind w:left="720" w:hanging="360"/>
      </w:pPr>
      <w:rPr>
        <w:rFonts w:ascii="Symbol" w:hAnsi="Symbol" w:hint="default"/>
        <w:color w:val="002D64" w:themeColor="text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4A521F"/>
    <w:multiLevelType w:val="multilevel"/>
    <w:tmpl w:val="A80A00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1D515E15"/>
    <w:multiLevelType w:val="hybridMultilevel"/>
    <w:tmpl w:val="44062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E596D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3274C80"/>
    <w:multiLevelType w:val="hybridMultilevel"/>
    <w:tmpl w:val="20A2680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4C843BF"/>
    <w:multiLevelType w:val="hybridMultilevel"/>
    <w:tmpl w:val="583C6C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4D6609C"/>
    <w:multiLevelType w:val="multilevel"/>
    <w:tmpl w:val="0409001F"/>
    <w:numStyleLink w:val="111111"/>
  </w:abstractNum>
  <w:abstractNum w:abstractNumId="24" w15:restartNumberingAfterBreak="0">
    <w:nsid w:val="34B11C78"/>
    <w:multiLevelType w:val="multilevel"/>
    <w:tmpl w:val="0409001F"/>
    <w:numStyleLink w:val="111111"/>
  </w:abstractNum>
  <w:abstractNum w:abstractNumId="25" w15:restartNumberingAfterBreak="0">
    <w:nsid w:val="3A2721B3"/>
    <w:multiLevelType w:val="hybridMultilevel"/>
    <w:tmpl w:val="FC32D20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C570466"/>
    <w:multiLevelType w:val="hybridMultilevel"/>
    <w:tmpl w:val="E57457E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7" w15:restartNumberingAfterBreak="0">
    <w:nsid w:val="44511F39"/>
    <w:multiLevelType w:val="multilevel"/>
    <w:tmpl w:val="948E78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5852F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BC51049"/>
    <w:multiLevelType w:val="multilevel"/>
    <w:tmpl w:val="618EE2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FE72655"/>
    <w:multiLevelType w:val="multilevel"/>
    <w:tmpl w:val="9454F7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5" w:hanging="1225"/>
      </w:pPr>
      <w:rPr>
        <w:rFonts w:hint="default"/>
      </w:rPr>
    </w:lvl>
    <w:lvl w:ilvl="3">
      <w:start w:val="1"/>
      <w:numFmt w:val="decimal"/>
      <w:lvlText w:val="%1.%2.%3.%4."/>
      <w:lvlJc w:val="left"/>
      <w:pPr>
        <w:ind w:left="1729" w:hanging="1729"/>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31" w15:restartNumberingAfterBreak="0">
    <w:nsid w:val="57552C6B"/>
    <w:multiLevelType w:val="hybridMultilevel"/>
    <w:tmpl w:val="B2CA82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CD5E84"/>
    <w:multiLevelType w:val="hybridMultilevel"/>
    <w:tmpl w:val="204C7ABC"/>
    <w:lvl w:ilvl="0" w:tplc="EAA2F5B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BC3104"/>
    <w:multiLevelType w:val="hybridMultilevel"/>
    <w:tmpl w:val="38D4A20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AB4000"/>
    <w:multiLevelType w:val="hybridMultilevel"/>
    <w:tmpl w:val="D8827700"/>
    <w:lvl w:ilvl="0" w:tplc="0C090001">
      <w:start w:val="1"/>
      <w:numFmt w:val="bullet"/>
      <w:lvlText w:val=""/>
      <w:lvlJc w:val="left"/>
      <w:pPr>
        <w:ind w:left="720" w:hanging="360"/>
      </w:pPr>
      <w:rPr>
        <w:rFonts w:ascii="Symbol" w:hAnsi="Symbol" w:hint="default"/>
      </w:rPr>
    </w:lvl>
    <w:lvl w:ilvl="1" w:tplc="A2400A1C">
      <w:numFmt w:val="bullet"/>
      <w:lvlText w:val="-"/>
      <w:lvlJc w:val="left"/>
      <w:pPr>
        <w:ind w:left="1440" w:hanging="360"/>
      </w:pPr>
      <w:rPr>
        <w:rFonts w:ascii="Source Sans Pro" w:eastAsiaTheme="minorHAnsi" w:hAnsi="Source Sans Pro"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B2679E"/>
    <w:multiLevelType w:val="hybridMultilevel"/>
    <w:tmpl w:val="25BE4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121256"/>
    <w:multiLevelType w:val="hybridMultilevel"/>
    <w:tmpl w:val="27EE2C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AB742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832AE7"/>
    <w:multiLevelType w:val="hybridMultilevel"/>
    <w:tmpl w:val="E7E4A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791C4B"/>
    <w:multiLevelType w:val="hybridMultilevel"/>
    <w:tmpl w:val="9C96D5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08142F6"/>
    <w:multiLevelType w:val="multilevel"/>
    <w:tmpl w:val="9454F7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5" w:hanging="1225"/>
      </w:pPr>
      <w:rPr>
        <w:rFonts w:hint="default"/>
      </w:rPr>
    </w:lvl>
    <w:lvl w:ilvl="3">
      <w:start w:val="1"/>
      <w:numFmt w:val="decimal"/>
      <w:lvlText w:val="%1.%2.%3.%4."/>
      <w:lvlJc w:val="left"/>
      <w:pPr>
        <w:ind w:left="1729" w:hanging="1729"/>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41" w15:restartNumberingAfterBreak="0">
    <w:nsid w:val="74704EC7"/>
    <w:multiLevelType w:val="multilevel"/>
    <w:tmpl w:val="D31EA3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76BB4899"/>
    <w:multiLevelType w:val="multilevel"/>
    <w:tmpl w:val="D57462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89677C6"/>
    <w:multiLevelType w:val="hybridMultilevel"/>
    <w:tmpl w:val="2F8EE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D4180C"/>
    <w:multiLevelType w:val="hybridMultilevel"/>
    <w:tmpl w:val="1374971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37"/>
  </w:num>
  <w:num w:numId="3">
    <w:abstractNumId w:val="23"/>
  </w:num>
  <w:num w:numId="4">
    <w:abstractNumId w:val="30"/>
  </w:num>
  <w:num w:numId="5">
    <w:abstractNumId w:val="24"/>
  </w:num>
  <w:num w:numId="6">
    <w:abstractNumId w:val="11"/>
  </w:num>
  <w:num w:numId="7">
    <w:abstractNumId w:val="20"/>
  </w:num>
  <w:num w:numId="8">
    <w:abstractNumId w:val="28"/>
  </w:num>
  <w:num w:numId="9">
    <w:abstractNumId w:val="18"/>
  </w:num>
  <w:num w:numId="10">
    <w:abstractNumId w:val="41"/>
  </w:num>
  <w:num w:numId="11">
    <w:abstractNumId w:val="14"/>
  </w:num>
  <w:num w:numId="12">
    <w:abstractNumId w:val="12"/>
  </w:num>
  <w:num w:numId="13">
    <w:abstractNumId w:val="27"/>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17"/>
  </w:num>
  <w:num w:numId="26">
    <w:abstractNumId w:val="42"/>
  </w:num>
  <w:num w:numId="27">
    <w:abstractNumId w:val="29"/>
  </w:num>
  <w:num w:numId="28">
    <w:abstractNumId w:val="11"/>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PagesSubheading"/>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9">
    <w:abstractNumId w:val="35"/>
  </w:num>
  <w:num w:numId="30">
    <w:abstractNumId w:val="44"/>
  </w:num>
  <w:num w:numId="31">
    <w:abstractNumId w:val="32"/>
  </w:num>
  <w:num w:numId="32">
    <w:abstractNumId w:val="25"/>
  </w:num>
  <w:num w:numId="33">
    <w:abstractNumId w:val="22"/>
  </w:num>
  <w:num w:numId="34">
    <w:abstractNumId w:val="33"/>
  </w:num>
  <w:num w:numId="35">
    <w:abstractNumId w:val="21"/>
  </w:num>
  <w:num w:numId="36">
    <w:abstractNumId w:val="36"/>
  </w:num>
  <w:num w:numId="37">
    <w:abstractNumId w:val="16"/>
  </w:num>
  <w:num w:numId="38">
    <w:abstractNumId w:val="43"/>
  </w:num>
  <w:num w:numId="39">
    <w:abstractNumId w:val="26"/>
  </w:num>
  <w:num w:numId="40">
    <w:abstractNumId w:val="31"/>
  </w:num>
  <w:num w:numId="41">
    <w:abstractNumId w:val="38"/>
  </w:num>
  <w:num w:numId="42">
    <w:abstractNumId w:val="39"/>
  </w:num>
  <w:num w:numId="43">
    <w:abstractNumId w:val="11"/>
  </w:num>
  <w:num w:numId="44">
    <w:abstractNumId w:val="34"/>
  </w:num>
  <w:num w:numId="45">
    <w:abstractNumId w:val="11"/>
  </w:num>
  <w:num w:numId="46">
    <w:abstractNumId w:val="11"/>
  </w:num>
  <w:num w:numId="47">
    <w:abstractNumId w:val="11"/>
  </w:num>
  <w:num w:numId="48">
    <w:abstractNumId w:val="19"/>
  </w:num>
  <w:num w:numId="49">
    <w:abstractNumId w:val="15"/>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20"/>
    <w:rsid w:val="0001186D"/>
    <w:rsid w:val="000444C8"/>
    <w:rsid w:val="000474F3"/>
    <w:rsid w:val="00067470"/>
    <w:rsid w:val="00087ACC"/>
    <w:rsid w:val="000A4BE8"/>
    <w:rsid w:val="00100B97"/>
    <w:rsid w:val="00112D87"/>
    <w:rsid w:val="001440A0"/>
    <w:rsid w:val="001533F7"/>
    <w:rsid w:val="00166E07"/>
    <w:rsid w:val="001A6C76"/>
    <w:rsid w:val="001C10BB"/>
    <w:rsid w:val="001C3C87"/>
    <w:rsid w:val="001E3F92"/>
    <w:rsid w:val="001F4D91"/>
    <w:rsid w:val="00211DDD"/>
    <w:rsid w:val="00241D85"/>
    <w:rsid w:val="00246B15"/>
    <w:rsid w:val="00271BD7"/>
    <w:rsid w:val="002844D1"/>
    <w:rsid w:val="00290335"/>
    <w:rsid w:val="002A1106"/>
    <w:rsid w:val="002A3A80"/>
    <w:rsid w:val="002C00B0"/>
    <w:rsid w:val="002C5820"/>
    <w:rsid w:val="002E5ACE"/>
    <w:rsid w:val="002E6177"/>
    <w:rsid w:val="002F71F2"/>
    <w:rsid w:val="00301B66"/>
    <w:rsid w:val="003063DB"/>
    <w:rsid w:val="00314842"/>
    <w:rsid w:val="0031760C"/>
    <w:rsid w:val="00337BA1"/>
    <w:rsid w:val="00361B98"/>
    <w:rsid w:val="00375D1D"/>
    <w:rsid w:val="003A651D"/>
    <w:rsid w:val="003B65CF"/>
    <w:rsid w:val="003C0907"/>
    <w:rsid w:val="003C6395"/>
    <w:rsid w:val="003D24E5"/>
    <w:rsid w:val="00403229"/>
    <w:rsid w:val="00412767"/>
    <w:rsid w:val="004242C7"/>
    <w:rsid w:val="004353AA"/>
    <w:rsid w:val="004425F5"/>
    <w:rsid w:val="0045011D"/>
    <w:rsid w:val="00483235"/>
    <w:rsid w:val="004A37B7"/>
    <w:rsid w:val="004B7A27"/>
    <w:rsid w:val="004C3669"/>
    <w:rsid w:val="004E547B"/>
    <w:rsid w:val="004E5CFB"/>
    <w:rsid w:val="004F104B"/>
    <w:rsid w:val="004F216B"/>
    <w:rsid w:val="00507FF2"/>
    <w:rsid w:val="005112E6"/>
    <w:rsid w:val="00511BE7"/>
    <w:rsid w:val="00535273"/>
    <w:rsid w:val="00536DDB"/>
    <w:rsid w:val="00540BAD"/>
    <w:rsid w:val="0055510C"/>
    <w:rsid w:val="0055732C"/>
    <w:rsid w:val="00562279"/>
    <w:rsid w:val="00575298"/>
    <w:rsid w:val="00581B6F"/>
    <w:rsid w:val="00590542"/>
    <w:rsid w:val="005B159E"/>
    <w:rsid w:val="005C519D"/>
    <w:rsid w:val="005C5DF6"/>
    <w:rsid w:val="005D4A51"/>
    <w:rsid w:val="005E2228"/>
    <w:rsid w:val="005F25D7"/>
    <w:rsid w:val="005F6907"/>
    <w:rsid w:val="006032A1"/>
    <w:rsid w:val="00604B05"/>
    <w:rsid w:val="006064A9"/>
    <w:rsid w:val="0061797A"/>
    <w:rsid w:val="00620320"/>
    <w:rsid w:val="006250F2"/>
    <w:rsid w:val="00626803"/>
    <w:rsid w:val="00640BE3"/>
    <w:rsid w:val="00650F02"/>
    <w:rsid w:val="0066091A"/>
    <w:rsid w:val="006717F3"/>
    <w:rsid w:val="006D0352"/>
    <w:rsid w:val="006D3117"/>
    <w:rsid w:val="006D763E"/>
    <w:rsid w:val="006E0872"/>
    <w:rsid w:val="007058F3"/>
    <w:rsid w:val="00733A48"/>
    <w:rsid w:val="00733D71"/>
    <w:rsid w:val="00746C8B"/>
    <w:rsid w:val="007624B5"/>
    <w:rsid w:val="007709E8"/>
    <w:rsid w:val="00770CEA"/>
    <w:rsid w:val="00777109"/>
    <w:rsid w:val="00777627"/>
    <w:rsid w:val="00782065"/>
    <w:rsid w:val="00783361"/>
    <w:rsid w:val="00794190"/>
    <w:rsid w:val="007A6DF6"/>
    <w:rsid w:val="007B2829"/>
    <w:rsid w:val="007B2DE0"/>
    <w:rsid w:val="007D570E"/>
    <w:rsid w:val="007E14BC"/>
    <w:rsid w:val="007F5BC6"/>
    <w:rsid w:val="00841B40"/>
    <w:rsid w:val="00843C6C"/>
    <w:rsid w:val="0086019D"/>
    <w:rsid w:val="008635B7"/>
    <w:rsid w:val="00871B87"/>
    <w:rsid w:val="00874B2B"/>
    <w:rsid w:val="008A08B6"/>
    <w:rsid w:val="008D41D1"/>
    <w:rsid w:val="008D4918"/>
    <w:rsid w:val="008E392C"/>
    <w:rsid w:val="00913535"/>
    <w:rsid w:val="00932CE3"/>
    <w:rsid w:val="0095645B"/>
    <w:rsid w:val="00960FFC"/>
    <w:rsid w:val="00970D86"/>
    <w:rsid w:val="0097680B"/>
    <w:rsid w:val="0098140E"/>
    <w:rsid w:val="00986E8B"/>
    <w:rsid w:val="00992FE2"/>
    <w:rsid w:val="00994A64"/>
    <w:rsid w:val="0099588F"/>
    <w:rsid w:val="009A4C8C"/>
    <w:rsid w:val="009B2129"/>
    <w:rsid w:val="009B47FC"/>
    <w:rsid w:val="009E5CCB"/>
    <w:rsid w:val="00A27050"/>
    <w:rsid w:val="00A3270E"/>
    <w:rsid w:val="00A47986"/>
    <w:rsid w:val="00A47D9C"/>
    <w:rsid w:val="00A63A87"/>
    <w:rsid w:val="00A6726C"/>
    <w:rsid w:val="00A67B13"/>
    <w:rsid w:val="00A72F9F"/>
    <w:rsid w:val="00A7320A"/>
    <w:rsid w:val="00A7382E"/>
    <w:rsid w:val="00A779E9"/>
    <w:rsid w:val="00AD5CA3"/>
    <w:rsid w:val="00B03E1F"/>
    <w:rsid w:val="00B0487C"/>
    <w:rsid w:val="00B277D0"/>
    <w:rsid w:val="00B32010"/>
    <w:rsid w:val="00B342E7"/>
    <w:rsid w:val="00B62AF8"/>
    <w:rsid w:val="00B66E3E"/>
    <w:rsid w:val="00B71F65"/>
    <w:rsid w:val="00B77171"/>
    <w:rsid w:val="00BB0359"/>
    <w:rsid w:val="00BB1E3A"/>
    <w:rsid w:val="00BB3545"/>
    <w:rsid w:val="00BD4003"/>
    <w:rsid w:val="00BD7CA9"/>
    <w:rsid w:val="00BE0BF4"/>
    <w:rsid w:val="00C177C6"/>
    <w:rsid w:val="00C2004C"/>
    <w:rsid w:val="00C3146A"/>
    <w:rsid w:val="00C74BE0"/>
    <w:rsid w:val="00C939A2"/>
    <w:rsid w:val="00C97601"/>
    <w:rsid w:val="00CA4029"/>
    <w:rsid w:val="00CB21A1"/>
    <w:rsid w:val="00CB6D8C"/>
    <w:rsid w:val="00CB725C"/>
    <w:rsid w:val="00CC7A48"/>
    <w:rsid w:val="00CD33BF"/>
    <w:rsid w:val="00CD4B7B"/>
    <w:rsid w:val="00CE0477"/>
    <w:rsid w:val="00CF7096"/>
    <w:rsid w:val="00D12867"/>
    <w:rsid w:val="00D17963"/>
    <w:rsid w:val="00D25CDB"/>
    <w:rsid w:val="00D41BBB"/>
    <w:rsid w:val="00D709E7"/>
    <w:rsid w:val="00D74846"/>
    <w:rsid w:val="00DA543E"/>
    <w:rsid w:val="00DC39D3"/>
    <w:rsid w:val="00DD0337"/>
    <w:rsid w:val="00DE3E6E"/>
    <w:rsid w:val="00DF176C"/>
    <w:rsid w:val="00DF3EBA"/>
    <w:rsid w:val="00DF44DB"/>
    <w:rsid w:val="00E0225A"/>
    <w:rsid w:val="00E1185B"/>
    <w:rsid w:val="00E14235"/>
    <w:rsid w:val="00E3239D"/>
    <w:rsid w:val="00E41E8E"/>
    <w:rsid w:val="00E96C74"/>
    <w:rsid w:val="00EA0861"/>
    <w:rsid w:val="00EB0438"/>
    <w:rsid w:val="00EC408A"/>
    <w:rsid w:val="00ED40A3"/>
    <w:rsid w:val="00ED4523"/>
    <w:rsid w:val="00EE2815"/>
    <w:rsid w:val="00EF4709"/>
    <w:rsid w:val="00F024CF"/>
    <w:rsid w:val="00F37972"/>
    <w:rsid w:val="00F47D90"/>
    <w:rsid w:val="00F5561E"/>
    <w:rsid w:val="00F70157"/>
    <w:rsid w:val="00F72626"/>
    <w:rsid w:val="00F90935"/>
    <w:rsid w:val="00FA7077"/>
    <w:rsid w:val="00FA78D0"/>
    <w:rsid w:val="00FC187F"/>
    <w:rsid w:val="00FC4DD2"/>
    <w:rsid w:val="00FE0DB5"/>
    <w:rsid w:val="00FE45B9"/>
    <w:rsid w:val="00FE4854"/>
    <w:rsid w:val="00FE76E8"/>
    <w:rsid w:val="00FE7F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84A61A"/>
  <w15:docId w15:val="{EDA44965-3D20-4350-97DB-6AB5625C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emiHidden/>
    <w:qFormat/>
    <w:rsid w:val="00211DDD"/>
    <w:pPr>
      <w:spacing w:after="0" w:line="240" w:lineRule="auto"/>
    </w:pPr>
  </w:style>
  <w:style w:type="paragraph" w:styleId="Heading1">
    <w:name w:val="heading 1"/>
    <w:basedOn w:val="Normal"/>
    <w:next w:val="Normal"/>
    <w:link w:val="Heading1Char"/>
    <w:uiPriority w:val="10"/>
    <w:qFormat/>
    <w:rsid w:val="00913535"/>
    <w:pPr>
      <w:numPr>
        <w:numId w:val="6"/>
      </w:numPr>
      <w:spacing w:after="240" w:line="540" w:lineRule="exact"/>
      <w:ind w:left="432"/>
      <w:outlineLvl w:val="0"/>
    </w:pPr>
    <w:rPr>
      <w:rFonts w:asciiTheme="majorHAnsi" w:hAnsiTheme="majorHAnsi"/>
      <w:color w:val="962D91" w:themeColor="background2"/>
      <w:spacing w:val="-6"/>
      <w:sz w:val="48"/>
      <w:szCs w:val="48"/>
    </w:rPr>
  </w:style>
  <w:style w:type="paragraph" w:styleId="Heading2">
    <w:name w:val="heading 2"/>
    <w:basedOn w:val="Normal"/>
    <w:next w:val="Normal"/>
    <w:link w:val="Heading2Char"/>
    <w:uiPriority w:val="9"/>
    <w:semiHidden/>
    <w:qFormat/>
    <w:rsid w:val="00166E07"/>
    <w:pPr>
      <w:spacing w:before="113" w:line="260" w:lineRule="exact"/>
      <w:outlineLvl w:val="1"/>
    </w:pPr>
    <w:rPr>
      <w:rFonts w:asciiTheme="majorHAnsi" w:hAnsiTheme="majorHAnsi"/>
      <w:b/>
      <w:color w:val="002D64" w:themeColor="text2"/>
    </w:rPr>
  </w:style>
  <w:style w:type="paragraph" w:styleId="Heading3">
    <w:name w:val="heading 3"/>
    <w:basedOn w:val="Normal"/>
    <w:next w:val="Normal"/>
    <w:link w:val="Heading3Char"/>
    <w:uiPriority w:val="9"/>
    <w:semiHidden/>
    <w:qFormat/>
    <w:rsid w:val="005F25D7"/>
    <w:pPr>
      <w:keepNext/>
      <w:keepLines/>
      <w:numPr>
        <w:ilvl w:val="2"/>
        <w:numId w:val="6"/>
      </w:numPr>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semiHidden/>
    <w:qFormat/>
    <w:rsid w:val="005F25D7"/>
    <w:pPr>
      <w:keepNext/>
      <w:keepLines/>
      <w:numPr>
        <w:ilvl w:val="3"/>
        <w:numId w:val="6"/>
      </w:numPr>
      <w:spacing w:before="200"/>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5F25D7"/>
    <w:pPr>
      <w:keepNext/>
      <w:keepLines/>
      <w:numPr>
        <w:ilvl w:val="4"/>
        <w:numId w:val="6"/>
      </w:numPr>
      <w:spacing w:before="200"/>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5F25D7"/>
    <w:pPr>
      <w:keepNext/>
      <w:keepLines/>
      <w:numPr>
        <w:ilvl w:val="5"/>
        <w:numId w:val="6"/>
      </w:numPr>
      <w:spacing w:before="200"/>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5F25D7"/>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5D7"/>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5F25D7"/>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rsid w:val="00DA543E"/>
    <w:rPr>
      <w:rFonts w:asciiTheme="majorHAnsi" w:hAnsiTheme="majorHAnsi"/>
      <w:color w:val="962D91" w:themeColor="background2"/>
      <w:spacing w:val="-6"/>
      <w:sz w:val="48"/>
      <w:szCs w:val="48"/>
    </w:rPr>
  </w:style>
  <w:style w:type="character" w:customStyle="1" w:styleId="Heading2Char">
    <w:name w:val="Heading 2 Char"/>
    <w:basedOn w:val="DefaultParagraphFont"/>
    <w:link w:val="Heading2"/>
    <w:uiPriority w:val="9"/>
    <w:semiHidden/>
    <w:rsid w:val="00913535"/>
    <w:rPr>
      <w:rFonts w:asciiTheme="majorHAnsi" w:hAnsiTheme="majorHAnsi"/>
      <w:b/>
      <w:color w:val="002D64" w:themeColor="text2"/>
    </w:rPr>
  </w:style>
  <w:style w:type="character" w:customStyle="1" w:styleId="Heading3Char">
    <w:name w:val="Heading 3 Char"/>
    <w:basedOn w:val="DefaultParagraphFont"/>
    <w:link w:val="Heading3"/>
    <w:uiPriority w:val="9"/>
    <w:semiHidden/>
    <w:rsid w:val="005F25D7"/>
    <w:rPr>
      <w:rFonts w:asciiTheme="majorHAnsi" w:eastAsiaTheme="majorEastAsia" w:hAnsiTheme="majorHAnsi" w:cstheme="majorBidi"/>
      <w:b/>
      <w:bCs/>
      <w:color w:val="002D64" w:themeColor="accent1"/>
    </w:rPr>
  </w:style>
  <w:style w:type="paragraph" w:styleId="Header">
    <w:name w:val="header"/>
    <w:basedOn w:val="Normal"/>
    <w:link w:val="HeaderChar"/>
    <w:autoRedefine/>
    <w:uiPriority w:val="99"/>
    <w:rsid w:val="002844D1"/>
    <w:pPr>
      <w:pBdr>
        <w:top w:val="single" w:sz="4" w:space="3" w:color="696969" w:themeColor="accent3"/>
      </w:pBdr>
      <w:tabs>
        <w:tab w:val="right" w:pos="9639"/>
      </w:tabs>
      <w:spacing w:line="200" w:lineRule="exact"/>
      <w:jc w:val="center"/>
    </w:pPr>
    <w:rPr>
      <w:rFonts w:asciiTheme="majorHAnsi" w:hAnsiTheme="majorHAnsi"/>
      <w:b/>
      <w:color w:val="002D64" w:themeColor="text2"/>
      <w:sz w:val="20"/>
      <w:szCs w:val="20"/>
    </w:rPr>
  </w:style>
  <w:style w:type="character" w:customStyle="1" w:styleId="HeaderChar">
    <w:name w:val="Header Char"/>
    <w:basedOn w:val="DefaultParagraphFont"/>
    <w:link w:val="Header"/>
    <w:uiPriority w:val="99"/>
    <w:rsid w:val="002844D1"/>
    <w:rPr>
      <w:rFonts w:asciiTheme="majorHAnsi" w:hAnsiTheme="majorHAnsi"/>
      <w:b/>
      <w:color w:val="002D64" w:themeColor="text2"/>
      <w:sz w:val="20"/>
      <w:szCs w:val="20"/>
    </w:rPr>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Subtitle">
    <w:name w:val="Subtitle"/>
    <w:basedOn w:val="Normal"/>
    <w:next w:val="Normal"/>
    <w:link w:val="SubtitleChar"/>
    <w:uiPriority w:val="11"/>
    <w:rsid w:val="001533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3F7"/>
    <w:rPr>
      <w:rFonts w:eastAsiaTheme="minorEastAsia"/>
      <w:color w:val="5A5A5A" w:themeColor="text1" w:themeTint="A5"/>
      <w:spacing w:val="15"/>
    </w:rPr>
  </w:style>
  <w:style w:type="paragraph" w:customStyle="1" w:styleId="PagesIntroduction">
    <w:name w:val="Pages: Introduction"/>
    <w:basedOn w:val="Normal"/>
    <w:uiPriority w:val="4"/>
    <w:qFormat/>
    <w:rsid w:val="007B2DE0"/>
    <w:pPr>
      <w:spacing w:after="100" w:line="340" w:lineRule="exact"/>
    </w:pPr>
    <w:rPr>
      <w:color w:val="002D64" w:themeColor="text2"/>
      <w:spacing w:val="-8"/>
      <w:sz w:val="28"/>
      <w:szCs w:val="28"/>
    </w:rPr>
  </w:style>
  <w:style w:type="paragraph" w:customStyle="1" w:styleId="PagesSubheading">
    <w:name w:val="Pages: Subheading"/>
    <w:basedOn w:val="Heading2"/>
    <w:uiPriority w:val="5"/>
    <w:qFormat/>
    <w:rsid w:val="005F25D7"/>
    <w:pPr>
      <w:numPr>
        <w:ilvl w:val="1"/>
        <w:numId w:val="6"/>
      </w:numPr>
      <w:spacing w:before="0"/>
    </w:p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nhideWhenUsed/>
    <w:rsid w:val="00511BE7"/>
    <w:rPr>
      <w:color w:val="002D64" w:themeColor="hyperlink"/>
      <w:u w:val="single"/>
    </w:rPr>
  </w:style>
  <w:style w:type="paragraph" w:customStyle="1" w:styleId="ContentsHeading">
    <w:name w:val="Contents: Heading"/>
    <w:basedOn w:val="Heading1"/>
    <w:uiPriority w:val="2"/>
    <w:qFormat/>
    <w:rsid w:val="00B62AF8"/>
    <w:pPr>
      <w:numPr>
        <w:numId w:val="0"/>
      </w:numPr>
      <w:spacing w:after="400" w:line="520" w:lineRule="exact"/>
    </w:pPr>
  </w:style>
  <w:style w:type="paragraph" w:customStyle="1" w:styleId="PagesGraphheading">
    <w:name w:val="Pages: Graph heading"/>
    <w:basedOn w:val="PagesSubheadsmall"/>
    <w:uiPriority w:val="11"/>
    <w:qFormat/>
    <w:rsid w:val="004F216B"/>
    <w:rPr>
      <w:b/>
      <w:color w:val="962D91" w:themeColor="background2"/>
    </w:rPr>
  </w:style>
  <w:style w:type="character" w:customStyle="1" w:styleId="Heading4Char">
    <w:name w:val="Heading 4 Char"/>
    <w:basedOn w:val="DefaultParagraphFont"/>
    <w:link w:val="Heading4"/>
    <w:uiPriority w:val="9"/>
    <w:semiHidden/>
    <w:rsid w:val="005F25D7"/>
    <w:rPr>
      <w:rFonts w:asciiTheme="majorHAnsi" w:eastAsiaTheme="majorEastAsia" w:hAnsiTheme="majorHAnsi" w:cstheme="majorBidi"/>
      <w:b/>
      <w:bCs/>
      <w:i/>
      <w:iCs/>
      <w:color w:val="002D64" w:themeColor="accent1"/>
    </w:rPr>
  </w:style>
  <w:style w:type="numbering" w:styleId="111111">
    <w:name w:val="Outline List 2"/>
    <w:basedOn w:val="NoList"/>
    <w:uiPriority w:val="99"/>
    <w:semiHidden/>
    <w:unhideWhenUsed/>
    <w:rsid w:val="004A37B7"/>
    <w:pPr>
      <w:numPr>
        <w:numId w:val="2"/>
      </w:numPr>
    </w:pPr>
  </w:style>
  <w:style w:type="character" w:customStyle="1" w:styleId="Heading5Char">
    <w:name w:val="Heading 5 Char"/>
    <w:basedOn w:val="DefaultParagraphFont"/>
    <w:link w:val="Heading5"/>
    <w:uiPriority w:val="9"/>
    <w:semiHidden/>
    <w:rsid w:val="005F25D7"/>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5F25D7"/>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5F25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5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25D7"/>
    <w:rPr>
      <w:rFonts w:asciiTheme="majorHAnsi" w:eastAsiaTheme="majorEastAsia" w:hAnsiTheme="majorHAnsi" w:cstheme="majorBidi"/>
      <w:i/>
      <w:iCs/>
      <w:color w:val="404040" w:themeColor="text1" w:themeTint="BF"/>
      <w:sz w:val="20"/>
      <w:szCs w:val="20"/>
    </w:rPr>
  </w:style>
  <w:style w:type="paragraph" w:customStyle="1" w:styleId="PagesSubheadsmall">
    <w:name w:val="Pages: Subhead small"/>
    <w:basedOn w:val="Heading3"/>
    <w:uiPriority w:val="6"/>
    <w:qFormat/>
    <w:rsid w:val="00E14235"/>
    <w:rPr>
      <w:b w:val="0"/>
      <w:color w:val="000000" w:themeColor="text1"/>
      <w:szCs w:val="20"/>
    </w:rPr>
  </w:style>
  <w:style w:type="paragraph" w:customStyle="1" w:styleId="PagesHeading">
    <w:name w:val="Pages: Heading"/>
    <w:basedOn w:val="Heading1"/>
    <w:uiPriority w:val="3"/>
    <w:qFormat/>
    <w:rsid w:val="0066091A"/>
  </w:style>
  <w:style w:type="paragraph" w:customStyle="1" w:styleId="CoverHeading">
    <w:name w:val="Cover: Heading"/>
    <w:basedOn w:val="Normal"/>
    <w:qFormat/>
    <w:rsid w:val="001533F7"/>
    <w:pPr>
      <w:spacing w:after="57" w:line="560" w:lineRule="exact"/>
      <w:ind w:right="5159"/>
    </w:pPr>
    <w:rPr>
      <w:rFonts w:asciiTheme="majorHAnsi" w:hAnsiTheme="majorHAnsi"/>
      <w:b/>
      <w:color w:val="002D64" w:themeColor="text2"/>
      <w:sz w:val="48"/>
      <w:szCs w:val="48"/>
    </w:rPr>
  </w:style>
  <w:style w:type="paragraph" w:customStyle="1" w:styleId="CoverDescriptor">
    <w:name w:val="Cover: Descriptor"/>
    <w:basedOn w:val="Normal"/>
    <w:uiPriority w:val="1"/>
    <w:qFormat/>
    <w:rsid w:val="001533F7"/>
    <w:pPr>
      <w:spacing w:line="420" w:lineRule="exact"/>
      <w:ind w:right="5160"/>
    </w:pPr>
    <w:rPr>
      <w:rFonts w:asciiTheme="majorHAnsi" w:hAnsiTheme="majorHAnsi"/>
      <w:color w:val="962D91" w:themeColor="background2"/>
      <w:sz w:val="36"/>
      <w:szCs w:val="36"/>
    </w:rPr>
  </w:style>
  <w:style w:type="paragraph" w:customStyle="1" w:styleId="PagesBodytext">
    <w:name w:val="Pages: Body text"/>
    <w:basedOn w:val="Normal"/>
    <w:uiPriority w:val="7"/>
    <w:qFormat/>
    <w:rsid w:val="00640BE3"/>
    <w:pPr>
      <w:spacing w:after="220" w:line="260" w:lineRule="atLeast"/>
    </w:pPr>
    <w:rPr>
      <w:rFonts w:asciiTheme="majorHAnsi" w:hAnsiTheme="majorHAnsi"/>
    </w:rPr>
  </w:style>
  <w:style w:type="paragraph" w:styleId="TOC3">
    <w:name w:val="toc 3"/>
    <w:basedOn w:val="Normal"/>
    <w:next w:val="Normal"/>
    <w:autoRedefine/>
    <w:uiPriority w:val="39"/>
    <w:unhideWhenUsed/>
    <w:rsid w:val="00BD7CA9"/>
    <w:pPr>
      <w:tabs>
        <w:tab w:val="left" w:pos="1276"/>
        <w:tab w:val="right" w:pos="9628"/>
      </w:tabs>
      <w:spacing w:after="170"/>
      <w:ind w:left="567"/>
    </w:pPr>
    <w:rPr>
      <w:rFonts w:asciiTheme="majorHAnsi" w:hAnsiTheme="majorHAnsi"/>
      <w:noProof/>
    </w:rPr>
  </w:style>
  <w:style w:type="paragraph" w:styleId="TOC4">
    <w:name w:val="toc 4"/>
    <w:basedOn w:val="Normal"/>
    <w:next w:val="Normal"/>
    <w:autoRedefine/>
    <w:uiPriority w:val="39"/>
    <w:semiHidden/>
    <w:rsid w:val="0055732C"/>
    <w:pPr>
      <w:ind w:left="660"/>
    </w:pPr>
  </w:style>
  <w:style w:type="paragraph" w:styleId="TOC5">
    <w:name w:val="toc 5"/>
    <w:basedOn w:val="Normal"/>
    <w:next w:val="Normal"/>
    <w:autoRedefine/>
    <w:uiPriority w:val="39"/>
    <w:semiHidden/>
    <w:rsid w:val="0055732C"/>
    <w:pPr>
      <w:ind w:left="880"/>
    </w:pPr>
  </w:style>
  <w:style w:type="paragraph" w:styleId="TOC6">
    <w:name w:val="toc 6"/>
    <w:basedOn w:val="Normal"/>
    <w:next w:val="Normal"/>
    <w:autoRedefine/>
    <w:uiPriority w:val="39"/>
    <w:semiHidden/>
    <w:rsid w:val="0055732C"/>
    <w:pPr>
      <w:ind w:left="1100"/>
    </w:pPr>
  </w:style>
  <w:style w:type="paragraph" w:styleId="TOC7">
    <w:name w:val="toc 7"/>
    <w:basedOn w:val="Normal"/>
    <w:next w:val="Normal"/>
    <w:autoRedefine/>
    <w:uiPriority w:val="39"/>
    <w:semiHidden/>
    <w:rsid w:val="0055732C"/>
    <w:pPr>
      <w:ind w:left="1320"/>
    </w:pPr>
  </w:style>
  <w:style w:type="paragraph" w:styleId="TOC8">
    <w:name w:val="toc 8"/>
    <w:basedOn w:val="Normal"/>
    <w:next w:val="Normal"/>
    <w:autoRedefine/>
    <w:uiPriority w:val="39"/>
    <w:semiHidden/>
    <w:rsid w:val="0055732C"/>
    <w:pPr>
      <w:ind w:left="1540"/>
    </w:pPr>
  </w:style>
  <w:style w:type="paragraph" w:styleId="TOC9">
    <w:name w:val="toc 9"/>
    <w:basedOn w:val="Normal"/>
    <w:next w:val="Normal"/>
    <w:autoRedefine/>
    <w:uiPriority w:val="39"/>
    <w:semiHidden/>
    <w:rsid w:val="0055732C"/>
    <w:pPr>
      <w:ind w:left="1760"/>
    </w:pPr>
  </w:style>
  <w:style w:type="paragraph" w:customStyle="1" w:styleId="Bold">
    <w:name w:val="Bold"/>
    <w:basedOn w:val="PagesBodytext"/>
    <w:semiHidden/>
    <w:qFormat/>
    <w:rsid w:val="00DA543E"/>
    <w:rPr>
      <w:b/>
    </w:rPr>
  </w:style>
  <w:style w:type="paragraph" w:styleId="ListParagraph">
    <w:name w:val="List Paragraph"/>
    <w:basedOn w:val="Normal"/>
    <w:uiPriority w:val="34"/>
    <w:rsid w:val="008D41D1"/>
    <w:pPr>
      <w:ind w:left="720"/>
      <w:contextualSpacing/>
    </w:pPr>
  </w:style>
  <w:style w:type="character" w:styleId="BookTitle">
    <w:name w:val="Book Title"/>
    <w:basedOn w:val="DefaultParagraphFont"/>
    <w:uiPriority w:val="33"/>
    <w:rsid w:val="008D41D1"/>
    <w:rPr>
      <w:b/>
      <w:bCs/>
      <w:i/>
      <w:iCs/>
      <w:spacing w:val="5"/>
    </w:rPr>
  </w:style>
  <w:style w:type="character" w:styleId="IntenseReference">
    <w:name w:val="Intense Reference"/>
    <w:basedOn w:val="DefaultParagraphFont"/>
    <w:uiPriority w:val="32"/>
    <w:rsid w:val="008D41D1"/>
    <w:rPr>
      <w:b/>
      <w:bCs/>
      <w:smallCaps/>
      <w:color w:val="002D64" w:themeColor="accent1"/>
      <w:spacing w:val="5"/>
    </w:rPr>
  </w:style>
  <w:style w:type="character" w:styleId="SubtleReference">
    <w:name w:val="Subtle Reference"/>
    <w:basedOn w:val="DefaultParagraphFont"/>
    <w:uiPriority w:val="31"/>
    <w:rsid w:val="008D41D1"/>
    <w:rPr>
      <w:smallCaps/>
      <w:color w:val="5A5A5A" w:themeColor="text1" w:themeTint="A5"/>
    </w:rPr>
  </w:style>
  <w:style w:type="paragraph" w:styleId="IntenseQuote">
    <w:name w:val="Intense Quote"/>
    <w:basedOn w:val="Normal"/>
    <w:next w:val="Normal"/>
    <w:link w:val="IntenseQuoteChar"/>
    <w:uiPriority w:val="30"/>
    <w:rsid w:val="008D41D1"/>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8D41D1"/>
    <w:rPr>
      <w:i/>
      <w:iCs/>
      <w:color w:val="002D64" w:themeColor="accent1"/>
    </w:rPr>
  </w:style>
  <w:style w:type="character" w:styleId="Strong">
    <w:name w:val="Strong"/>
    <w:basedOn w:val="DefaultParagraphFont"/>
    <w:uiPriority w:val="22"/>
    <w:rsid w:val="008D41D1"/>
    <w:rPr>
      <w:b/>
      <w:bCs/>
    </w:rPr>
  </w:style>
  <w:style w:type="character" w:styleId="IntenseEmphasis">
    <w:name w:val="Intense Emphasis"/>
    <w:basedOn w:val="DefaultParagraphFont"/>
    <w:uiPriority w:val="21"/>
    <w:rsid w:val="008D41D1"/>
    <w:rPr>
      <w:i/>
      <w:iCs/>
      <w:color w:val="002D64" w:themeColor="accent1"/>
    </w:rPr>
  </w:style>
  <w:style w:type="character" w:styleId="Emphasis">
    <w:name w:val="Emphasis"/>
    <w:basedOn w:val="DefaultParagraphFont"/>
    <w:uiPriority w:val="20"/>
    <w:rsid w:val="008D41D1"/>
    <w:rPr>
      <w:i/>
      <w:iCs/>
    </w:rPr>
  </w:style>
  <w:style w:type="character" w:styleId="SubtleEmphasis">
    <w:name w:val="Subtle Emphasis"/>
    <w:basedOn w:val="DefaultParagraphFont"/>
    <w:uiPriority w:val="19"/>
    <w:rsid w:val="008D41D1"/>
    <w:rPr>
      <w:i/>
      <w:iCs/>
      <w:color w:val="404040" w:themeColor="text1" w:themeTint="BF"/>
    </w:rPr>
  </w:style>
  <w:style w:type="paragraph" w:customStyle="1" w:styleId="PagesTableheading">
    <w:name w:val="Pages: Table heading"/>
    <w:basedOn w:val="PagesGraphheading"/>
    <w:qFormat/>
    <w:rsid w:val="00777109"/>
    <w:pPr>
      <w:spacing w:after="120"/>
    </w:pPr>
  </w:style>
  <w:style w:type="table" w:styleId="TableGrid">
    <w:name w:val="Table Grid"/>
    <w:basedOn w:val="TableNormal"/>
    <w:uiPriority w:val="59"/>
    <w:rsid w:val="00794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794190"/>
  </w:style>
  <w:style w:type="paragraph" w:styleId="TableofAuthorities">
    <w:name w:val="table of authorities"/>
    <w:basedOn w:val="Normal"/>
    <w:next w:val="Normal"/>
    <w:uiPriority w:val="99"/>
    <w:unhideWhenUsed/>
    <w:rsid w:val="00794190"/>
    <w:pPr>
      <w:ind w:left="220" w:hanging="220"/>
    </w:pPr>
  </w:style>
  <w:style w:type="table" w:customStyle="1" w:styleId="GridTable4-Accent11">
    <w:name w:val="Grid Table 4 - Accent 11"/>
    <w:basedOn w:val="TableNormal"/>
    <w:uiPriority w:val="49"/>
    <w:rsid w:val="00794190"/>
    <w:pPr>
      <w:spacing w:after="0" w:line="240" w:lineRule="auto"/>
    </w:pPr>
    <w:tblPr>
      <w:tblStyleRowBandSize w:val="1"/>
      <w:tblStyleColBandSize w:val="1"/>
      <w:tblBorders>
        <w:top w:val="single" w:sz="4" w:space="0" w:color="0976FF" w:themeColor="accent1" w:themeTint="99"/>
        <w:left w:val="single" w:sz="4" w:space="0" w:color="0976FF" w:themeColor="accent1" w:themeTint="99"/>
        <w:bottom w:val="single" w:sz="4" w:space="0" w:color="0976FF" w:themeColor="accent1" w:themeTint="99"/>
        <w:right w:val="single" w:sz="4" w:space="0" w:color="0976FF" w:themeColor="accent1" w:themeTint="99"/>
        <w:insideH w:val="single" w:sz="4" w:space="0" w:color="0976FF" w:themeColor="accent1" w:themeTint="99"/>
        <w:insideV w:val="single" w:sz="4" w:space="0" w:color="0976FF" w:themeColor="accent1" w:themeTint="99"/>
      </w:tblBorders>
    </w:tblPr>
    <w:tblStylePr w:type="firstRow">
      <w:rPr>
        <w:b/>
        <w:bCs/>
        <w:color w:val="FFFFFF" w:themeColor="background1"/>
      </w:rPr>
      <w:tblPr/>
      <w:tcPr>
        <w:tcBorders>
          <w:top w:val="single" w:sz="4" w:space="0" w:color="002D64" w:themeColor="accent1"/>
          <w:left w:val="single" w:sz="4" w:space="0" w:color="002D64" w:themeColor="accent1"/>
          <w:bottom w:val="single" w:sz="4" w:space="0" w:color="002D64" w:themeColor="accent1"/>
          <w:right w:val="single" w:sz="4" w:space="0" w:color="002D64" w:themeColor="accent1"/>
          <w:insideH w:val="nil"/>
          <w:insideV w:val="nil"/>
        </w:tcBorders>
        <w:shd w:val="clear" w:color="auto" w:fill="002D64" w:themeFill="accent1"/>
      </w:tcPr>
    </w:tblStylePr>
    <w:tblStylePr w:type="lastRow">
      <w:rPr>
        <w:b/>
        <w:bCs/>
      </w:rPr>
      <w:tblPr/>
      <w:tcPr>
        <w:tcBorders>
          <w:top w:val="double" w:sz="4" w:space="0" w:color="002D64" w:themeColor="accent1"/>
        </w:tcBorders>
      </w:tcPr>
    </w:tblStylePr>
    <w:tblStylePr w:type="firstCol">
      <w:rPr>
        <w:b/>
        <w:bCs/>
      </w:rPr>
    </w:tblStylePr>
    <w:tblStylePr w:type="lastCol">
      <w:rPr>
        <w:b/>
        <w:bCs/>
      </w:rPr>
    </w:tblStylePr>
    <w:tblStylePr w:type="band1Vert">
      <w:tblPr/>
      <w:tcPr>
        <w:shd w:val="clear" w:color="auto" w:fill="ADD1FF" w:themeFill="accent1" w:themeFillTint="33"/>
      </w:tcPr>
    </w:tblStylePr>
    <w:tblStylePr w:type="band1Horz">
      <w:tblPr/>
      <w:tcPr>
        <w:shd w:val="clear" w:color="auto" w:fill="ADD1FF" w:themeFill="accent1" w:themeFillTint="33"/>
      </w:tcPr>
    </w:tblStylePr>
  </w:style>
  <w:style w:type="table" w:customStyle="1" w:styleId="ListTable3-Accent11">
    <w:name w:val="List Table 3 - Accent 11"/>
    <w:basedOn w:val="TableNormal"/>
    <w:uiPriority w:val="48"/>
    <w:rsid w:val="007D570E"/>
    <w:pPr>
      <w:spacing w:after="0" w:line="240" w:lineRule="auto"/>
    </w:pPr>
    <w:tblPr>
      <w:tblStyleRowBandSize w:val="1"/>
      <w:tblStyleColBandSize w:val="1"/>
      <w:tblBorders>
        <w:top w:val="single" w:sz="4" w:space="0" w:color="002D64" w:themeColor="text2"/>
        <w:left w:val="single" w:sz="4" w:space="0" w:color="002D64" w:themeColor="text2"/>
        <w:bottom w:val="single" w:sz="4" w:space="0" w:color="002D64" w:themeColor="text2"/>
        <w:right w:val="single" w:sz="4" w:space="0" w:color="002D64" w:themeColor="text2"/>
      </w:tblBorders>
    </w:tblPr>
    <w:tcPr>
      <w:tcMar>
        <w:top w:w="57" w:type="dxa"/>
        <w:left w:w="57" w:type="dxa"/>
        <w:bottom w:w="57" w:type="dxa"/>
        <w:right w:w="57" w:type="dxa"/>
      </w:tcMar>
      <w:vAlign w:val="center"/>
    </w:tcPr>
    <w:tblStylePr w:type="firstRow">
      <w:rPr>
        <w:b/>
        <w:bCs/>
        <w:color w:val="FFFFFF" w:themeColor="background1"/>
      </w:rPr>
      <w:tblPr/>
      <w:tcPr>
        <w:shd w:val="clear" w:color="auto" w:fill="002D64" w:themeFill="accent1"/>
      </w:tcPr>
    </w:tblStylePr>
    <w:tblStylePr w:type="lastRow">
      <w:rPr>
        <w:b/>
        <w:bCs/>
      </w:rPr>
      <w:tblPr/>
      <w:tcPr>
        <w:tcBorders>
          <w:top w:val="double" w:sz="4" w:space="0" w:color="002D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D64" w:themeColor="accent1"/>
          <w:right w:val="single" w:sz="4" w:space="0" w:color="002D64" w:themeColor="accent1"/>
        </w:tcBorders>
      </w:tcPr>
    </w:tblStylePr>
    <w:tblStylePr w:type="band1Horz">
      <w:tblPr/>
      <w:tcPr>
        <w:tcBorders>
          <w:top w:val="single" w:sz="4" w:space="0" w:color="002D64" w:themeColor="accent1"/>
          <w:bottom w:val="single" w:sz="4" w:space="0" w:color="002D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D64" w:themeColor="accent1"/>
          <w:left w:val="nil"/>
        </w:tcBorders>
      </w:tcPr>
    </w:tblStylePr>
    <w:tblStylePr w:type="swCell">
      <w:tblPr/>
      <w:tcPr>
        <w:tcBorders>
          <w:top w:val="double" w:sz="4" w:space="0" w:color="002D64" w:themeColor="accent1"/>
          <w:right w:val="nil"/>
        </w:tcBorders>
      </w:tcPr>
    </w:tblStylePr>
  </w:style>
  <w:style w:type="table" w:customStyle="1" w:styleId="PagesTableStyle">
    <w:name w:val="Pages: Table Style"/>
    <w:basedOn w:val="ListTable3-Accent11"/>
    <w:uiPriority w:val="99"/>
    <w:rsid w:val="00FC187F"/>
    <w:tblPr>
      <w:tblBorders>
        <w:top w:val="none" w:sz="0" w:space="0" w:color="auto"/>
        <w:left w:val="none" w:sz="0" w:space="0" w:color="auto"/>
        <w:bottom w:val="none" w:sz="0" w:space="0" w:color="auto"/>
        <w:right w:val="none" w:sz="0" w:space="0" w:color="auto"/>
        <w:insideH w:val="single" w:sz="4" w:space="0" w:color="002D64" w:themeColor="text2"/>
        <w:insideV w:val="single" w:sz="4" w:space="0" w:color="002D64" w:themeColor="text2"/>
      </w:tblBorders>
    </w:tblPr>
    <w:tblStylePr w:type="firstRow">
      <w:rPr>
        <w:b/>
        <w:bCs/>
        <w:color w:val="FFFFFF" w:themeColor="background1"/>
      </w:rPr>
      <w:tblPr/>
      <w:tcPr>
        <w:shd w:val="clear" w:color="auto" w:fill="002D64" w:themeFill="accent1"/>
      </w:tcPr>
    </w:tblStylePr>
    <w:tblStylePr w:type="lastRow">
      <w:rPr>
        <w:b/>
        <w:bCs/>
      </w:rPr>
      <w:tblPr/>
      <w:tcPr>
        <w:tcBorders>
          <w:top w:val="double" w:sz="4" w:space="0" w:color="002D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D64" w:themeColor="accent1"/>
          <w:right w:val="single" w:sz="4" w:space="0" w:color="002D64" w:themeColor="accent1"/>
        </w:tcBorders>
      </w:tcPr>
    </w:tblStylePr>
    <w:tblStylePr w:type="band1Horz">
      <w:tblPr/>
      <w:tcPr>
        <w:tcBorders>
          <w:top w:val="single" w:sz="4" w:space="0" w:color="002D64" w:themeColor="accent1"/>
          <w:bottom w:val="single" w:sz="4" w:space="0" w:color="002D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D64" w:themeColor="accent1"/>
          <w:left w:val="nil"/>
        </w:tcBorders>
      </w:tcPr>
    </w:tblStylePr>
    <w:tblStylePr w:type="swCell">
      <w:tblPr/>
      <w:tcPr>
        <w:tcBorders>
          <w:top w:val="double" w:sz="4" w:space="0" w:color="002D64" w:themeColor="accent1"/>
          <w:right w:val="nil"/>
        </w:tcBorders>
      </w:tcPr>
    </w:tblStylePr>
  </w:style>
  <w:style w:type="paragraph" w:styleId="BodyText">
    <w:name w:val="Body Text"/>
    <w:basedOn w:val="Normal"/>
    <w:link w:val="BodyTextChar"/>
    <w:uiPriority w:val="3"/>
    <w:qFormat/>
    <w:rsid w:val="00794190"/>
    <w:pPr>
      <w:spacing w:after="120"/>
    </w:pPr>
  </w:style>
  <w:style w:type="character" w:customStyle="1" w:styleId="BodyTextChar">
    <w:name w:val="Body Text Char"/>
    <w:basedOn w:val="DefaultParagraphFont"/>
    <w:link w:val="BodyText"/>
    <w:uiPriority w:val="3"/>
    <w:rsid w:val="00794190"/>
  </w:style>
  <w:style w:type="paragraph" w:customStyle="1" w:styleId="PagesBulletpoints">
    <w:name w:val="Pages: Bullet points"/>
    <w:basedOn w:val="PagesBodytext"/>
    <w:qFormat/>
    <w:rsid w:val="005B159E"/>
    <w:pPr>
      <w:numPr>
        <w:numId w:val="25"/>
      </w:numPr>
    </w:pPr>
  </w:style>
  <w:style w:type="paragraph" w:customStyle="1" w:styleId="PagesHighlightedtext">
    <w:name w:val="Pages: Highlighted text"/>
    <w:basedOn w:val="PagesBodytext"/>
    <w:qFormat/>
    <w:rsid w:val="004425F5"/>
    <w:pPr>
      <w:ind w:left="714" w:right="714"/>
    </w:pPr>
    <w:rPr>
      <w:b/>
      <w:i/>
      <w:color w:val="002D64" w:themeColor="text2"/>
    </w:rPr>
  </w:style>
  <w:style w:type="table" w:customStyle="1" w:styleId="PagesTextbox">
    <w:name w:val="Pages: Text box"/>
    <w:basedOn w:val="TableNormal"/>
    <w:uiPriority w:val="99"/>
    <w:rsid w:val="00E41E8E"/>
    <w:pPr>
      <w:spacing w:after="0" w:line="240" w:lineRule="auto"/>
    </w:pPr>
    <w:rPr>
      <w:rFonts w:ascii="Source Sans Pro" w:hAnsi="Source Sans Pro"/>
      <w:color w:val="002D64" w:themeColor="text2"/>
    </w:rPr>
    <w:tblPr>
      <w:tblBorders>
        <w:top w:val="single" w:sz="4" w:space="0" w:color="002D64" w:themeColor="text2"/>
        <w:left w:val="single" w:sz="4" w:space="0" w:color="002D64" w:themeColor="text2"/>
        <w:bottom w:val="single" w:sz="4" w:space="0" w:color="002D64" w:themeColor="text2"/>
        <w:right w:val="single" w:sz="4" w:space="0" w:color="002D64" w:themeColor="text2"/>
      </w:tblBorders>
    </w:tblPr>
    <w:tcPr>
      <w:shd w:val="clear" w:color="auto" w:fill="auto"/>
      <w:tcMar>
        <w:top w:w="85" w:type="dxa"/>
        <w:left w:w="85" w:type="dxa"/>
        <w:bottom w:w="85" w:type="dxa"/>
        <w:right w:w="85" w:type="dxa"/>
      </w:tcMar>
      <w:vAlign w:val="center"/>
    </w:tcPr>
  </w:style>
  <w:style w:type="paragraph" w:customStyle="1" w:styleId="PagesBoxstyle">
    <w:name w:val="Pages: Box style"/>
    <w:basedOn w:val="PagesBodytext"/>
    <w:qFormat/>
    <w:rsid w:val="00E41E8E"/>
    <w:pPr>
      <w:spacing w:after="0"/>
    </w:pPr>
    <w:rPr>
      <w:color w:val="002D64" w:themeColor="text2"/>
    </w:rPr>
  </w:style>
  <w:style w:type="paragraph" w:styleId="Footer">
    <w:name w:val="footer"/>
    <w:basedOn w:val="Normal"/>
    <w:link w:val="FooterChar"/>
    <w:uiPriority w:val="99"/>
    <w:rsid w:val="00777627"/>
    <w:pPr>
      <w:tabs>
        <w:tab w:val="center" w:pos="4513"/>
        <w:tab w:val="right" w:pos="9026"/>
      </w:tabs>
    </w:pPr>
  </w:style>
  <w:style w:type="character" w:customStyle="1" w:styleId="FooterChar">
    <w:name w:val="Footer Char"/>
    <w:basedOn w:val="DefaultParagraphFont"/>
    <w:link w:val="Footer"/>
    <w:uiPriority w:val="99"/>
    <w:rsid w:val="00777627"/>
  </w:style>
  <w:style w:type="paragraph" w:styleId="Title">
    <w:name w:val="Title"/>
    <w:basedOn w:val="Normal"/>
    <w:next w:val="Normal"/>
    <w:link w:val="TitleChar"/>
    <w:uiPriority w:val="10"/>
    <w:rsid w:val="0077762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777627"/>
    <w:rPr>
      <w:rFonts w:asciiTheme="majorHAnsi" w:hAnsiTheme="majorHAnsi"/>
      <w:b/>
      <w:color w:val="002D64" w:themeColor="text2"/>
      <w:sz w:val="48"/>
      <w:szCs w:val="48"/>
    </w:rPr>
  </w:style>
  <w:style w:type="paragraph" w:customStyle="1" w:styleId="LongTitle">
    <w:name w:val="Long Title"/>
    <w:basedOn w:val="Title"/>
    <w:uiPriority w:val="7"/>
    <w:qFormat/>
    <w:rsid w:val="00777627"/>
    <w:pPr>
      <w:ind w:right="0"/>
    </w:pPr>
  </w:style>
  <w:style w:type="paragraph" w:customStyle="1" w:styleId="LongSubtitle">
    <w:name w:val="Long Subtitle"/>
    <w:basedOn w:val="Normal"/>
    <w:uiPriority w:val="6"/>
    <w:qFormat/>
    <w:rsid w:val="00777627"/>
    <w:pPr>
      <w:spacing w:line="420" w:lineRule="exact"/>
    </w:pPr>
    <w:rPr>
      <w:rFonts w:asciiTheme="majorHAnsi" w:hAnsiTheme="majorHAnsi"/>
      <w:color w:val="962D91" w:themeColor="background2"/>
      <w:sz w:val="36"/>
      <w:szCs w:val="36"/>
    </w:rPr>
  </w:style>
  <w:style w:type="paragraph" w:customStyle="1" w:styleId="CoverDescriptorLong">
    <w:name w:val="Cover: Descriptor Long"/>
    <w:basedOn w:val="CoverDescriptor"/>
    <w:qFormat/>
    <w:rsid w:val="00FE76E8"/>
    <w:pPr>
      <w:ind w:right="3175"/>
    </w:pPr>
  </w:style>
  <w:style w:type="paragraph" w:customStyle="1" w:styleId="CoverHeadingLong">
    <w:name w:val="Cover: Heading Long"/>
    <w:basedOn w:val="CoverHeading"/>
    <w:qFormat/>
    <w:rsid w:val="00FE76E8"/>
    <w:pPr>
      <w:ind w:right="0"/>
    </w:pPr>
    <w:rPr>
      <w:color w:val="962D91"/>
    </w:rPr>
  </w:style>
  <w:style w:type="table" w:customStyle="1" w:styleId="TableGridLight1">
    <w:name w:val="Table Grid Light1"/>
    <w:basedOn w:val="TableNormal"/>
    <w:uiPriority w:val="40"/>
    <w:rsid w:val="00211D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1Light-Accent11">
    <w:name w:val="List Table 1 Light - Accent 11"/>
    <w:basedOn w:val="TableNormal"/>
    <w:uiPriority w:val="46"/>
    <w:rsid w:val="00AD5CA3"/>
    <w:pPr>
      <w:spacing w:after="0" w:line="240" w:lineRule="auto"/>
    </w:pPr>
    <w:tblPr>
      <w:tblStyleRowBandSize w:val="1"/>
      <w:tblStyleColBandSize w:val="1"/>
    </w:tblPr>
    <w:tblStylePr w:type="firstRow">
      <w:rPr>
        <w:b/>
        <w:bCs/>
      </w:rPr>
      <w:tblPr/>
      <w:tcPr>
        <w:tcBorders>
          <w:bottom w:val="single" w:sz="4" w:space="0" w:color="0976FF" w:themeColor="accent1" w:themeTint="99"/>
        </w:tcBorders>
      </w:tcPr>
    </w:tblStylePr>
    <w:tblStylePr w:type="lastRow">
      <w:rPr>
        <w:b/>
        <w:bCs/>
      </w:rPr>
      <w:tblPr/>
      <w:tcPr>
        <w:tcBorders>
          <w:top w:val="single" w:sz="4" w:space="0" w:color="0976FF" w:themeColor="accent1" w:themeTint="99"/>
        </w:tcBorders>
      </w:tcPr>
    </w:tblStylePr>
    <w:tblStylePr w:type="firstCol">
      <w:rPr>
        <w:b/>
        <w:bCs/>
      </w:rPr>
    </w:tblStylePr>
    <w:tblStylePr w:type="lastCol">
      <w:rPr>
        <w:b/>
        <w:bCs/>
      </w:rPr>
    </w:tblStylePr>
    <w:tblStylePr w:type="band1Vert">
      <w:tblPr/>
      <w:tcPr>
        <w:shd w:val="clear" w:color="auto" w:fill="ADD1FF" w:themeFill="accent1" w:themeFillTint="33"/>
      </w:tcPr>
    </w:tblStylePr>
    <w:tblStylePr w:type="band1Horz">
      <w:tblPr/>
      <w:tcPr>
        <w:shd w:val="clear" w:color="auto" w:fill="ADD1FF" w:themeFill="accent1" w:themeFillTint="33"/>
      </w:tcPr>
    </w:tblStylePr>
  </w:style>
  <w:style w:type="table" w:customStyle="1" w:styleId="ListTable2-Accent11">
    <w:name w:val="List Table 2 - Accent 11"/>
    <w:basedOn w:val="TableNormal"/>
    <w:uiPriority w:val="47"/>
    <w:rsid w:val="00AD5CA3"/>
    <w:pPr>
      <w:spacing w:after="0" w:line="240" w:lineRule="auto"/>
    </w:pPr>
    <w:tblPr>
      <w:tblStyleRowBandSize w:val="1"/>
      <w:tblStyleColBandSize w:val="1"/>
      <w:tblBorders>
        <w:top w:val="single" w:sz="4" w:space="0" w:color="0976FF" w:themeColor="accent1" w:themeTint="99"/>
        <w:bottom w:val="single" w:sz="4" w:space="0" w:color="0976FF" w:themeColor="accent1" w:themeTint="99"/>
        <w:insideH w:val="single" w:sz="4" w:space="0" w:color="0976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1FF" w:themeFill="accent1" w:themeFillTint="33"/>
      </w:tcPr>
    </w:tblStylePr>
    <w:tblStylePr w:type="band1Horz">
      <w:tblPr/>
      <w:tcPr>
        <w:shd w:val="clear" w:color="auto" w:fill="ADD1FF" w:themeFill="accent1" w:themeFillTint="33"/>
      </w:tcPr>
    </w:tblStylePr>
  </w:style>
  <w:style w:type="character" w:styleId="CommentReference">
    <w:name w:val="annotation reference"/>
    <w:basedOn w:val="DefaultParagraphFont"/>
    <w:uiPriority w:val="99"/>
    <w:semiHidden/>
    <w:unhideWhenUsed/>
    <w:rsid w:val="002E5ACE"/>
    <w:rPr>
      <w:sz w:val="16"/>
      <w:szCs w:val="16"/>
    </w:rPr>
  </w:style>
  <w:style w:type="paragraph" w:styleId="CommentText">
    <w:name w:val="annotation text"/>
    <w:basedOn w:val="Normal"/>
    <w:link w:val="CommentTextChar"/>
    <w:uiPriority w:val="99"/>
    <w:semiHidden/>
    <w:unhideWhenUsed/>
    <w:rsid w:val="002E5ACE"/>
    <w:rPr>
      <w:sz w:val="20"/>
      <w:szCs w:val="20"/>
    </w:rPr>
  </w:style>
  <w:style w:type="character" w:customStyle="1" w:styleId="CommentTextChar">
    <w:name w:val="Comment Text Char"/>
    <w:basedOn w:val="DefaultParagraphFont"/>
    <w:link w:val="CommentText"/>
    <w:uiPriority w:val="99"/>
    <w:semiHidden/>
    <w:rsid w:val="002E5ACE"/>
    <w:rPr>
      <w:sz w:val="20"/>
      <w:szCs w:val="20"/>
    </w:rPr>
  </w:style>
  <w:style w:type="paragraph" w:styleId="CommentSubject">
    <w:name w:val="annotation subject"/>
    <w:basedOn w:val="CommentText"/>
    <w:next w:val="CommentText"/>
    <w:link w:val="CommentSubjectChar"/>
    <w:uiPriority w:val="99"/>
    <w:semiHidden/>
    <w:unhideWhenUsed/>
    <w:rsid w:val="002E5ACE"/>
    <w:rPr>
      <w:b/>
      <w:bCs/>
    </w:rPr>
  </w:style>
  <w:style w:type="character" w:customStyle="1" w:styleId="CommentSubjectChar">
    <w:name w:val="Comment Subject Char"/>
    <w:basedOn w:val="CommentTextChar"/>
    <w:link w:val="CommentSubject"/>
    <w:uiPriority w:val="99"/>
    <w:semiHidden/>
    <w:rsid w:val="002E5A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79179">
      <w:bodyDiv w:val="1"/>
      <w:marLeft w:val="0"/>
      <w:marRight w:val="0"/>
      <w:marTop w:val="0"/>
      <w:marBottom w:val="0"/>
      <w:divBdr>
        <w:top w:val="none" w:sz="0" w:space="0" w:color="auto"/>
        <w:left w:val="none" w:sz="0" w:space="0" w:color="auto"/>
        <w:bottom w:val="none" w:sz="0" w:space="0" w:color="auto"/>
        <w:right w:val="none" w:sz="0" w:space="0" w:color="auto"/>
      </w:divBdr>
    </w:div>
    <w:div w:id="113410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ilson.COUCEU\Dropbox%20(Cochrane)\CEO's%20Office\Mark\Cochrane%20Governing%20Board%20Paper%20template%20with%20guidance_Feb2017.dotx" TargetMode="Externa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2EF57-F30A-4000-9ED0-20FF292F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Cochrane Governing Board Paper template with guidance_Feb2017.dotx</Template>
  <TotalTime>1</TotalTime>
  <Pages>5</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Cumpston</dc:creator>
  <cp:lastModifiedBy>Elaine Carman</cp:lastModifiedBy>
  <cp:revision>2</cp:revision>
  <cp:lastPrinted>2017-03-21T16:27:00Z</cp:lastPrinted>
  <dcterms:created xsi:type="dcterms:W3CDTF">2017-03-22T14:01:00Z</dcterms:created>
  <dcterms:modified xsi:type="dcterms:W3CDTF">2017-03-22T14:01:00Z</dcterms:modified>
</cp:coreProperties>
</file>