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0789BA" w14:textId="24FCF877" w:rsidR="00F97CE4" w:rsidRDefault="00E63055" w:rsidP="00BF1D3E">
      <w:pPr>
        <w:pStyle w:val="Header"/>
        <w:tabs>
          <w:tab w:val="left" w:pos="2820"/>
        </w:tabs>
      </w:pPr>
      <w:r w:rsidRPr="005D4A51">
        <w:rPr>
          <w:b/>
          <w:noProof/>
          <w:lang w:eastAsia="en-GB"/>
        </w:rPr>
        <w:drawing>
          <wp:anchor distT="0" distB="0" distL="114300" distR="114300" simplePos="0" relativeHeight="251663360" behindDoc="0" locked="0" layoutInCell="1" allowOverlap="1" wp14:anchorId="57D97690" wp14:editId="373BF80C">
            <wp:simplePos x="0" y="0"/>
            <wp:positionH relativeFrom="column">
              <wp:posOffset>-247650</wp:posOffset>
            </wp:positionH>
            <wp:positionV relativeFrom="paragraph">
              <wp:posOffset>200025</wp:posOffset>
            </wp:positionV>
            <wp:extent cx="3023235" cy="624840"/>
            <wp:effectExtent l="0" t="0" r="0" b="1016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23235" cy="624840"/>
                    </a:xfrm>
                    <a:prstGeom prst="rect">
                      <a:avLst/>
                    </a:prstGeom>
                  </pic:spPr>
                </pic:pic>
              </a:graphicData>
            </a:graphic>
            <wp14:sizeRelH relativeFrom="page">
              <wp14:pctWidth>0</wp14:pctWidth>
            </wp14:sizeRelH>
            <wp14:sizeRelV relativeFrom="page">
              <wp14:pctHeight>0</wp14:pctHeight>
            </wp14:sizeRelV>
          </wp:anchor>
        </w:drawing>
      </w:r>
    </w:p>
    <w:p w14:paraId="483BAB11" w14:textId="02537BC5" w:rsidR="00F97CE4" w:rsidRDefault="00F97CE4" w:rsidP="00BF1D3E">
      <w:pPr>
        <w:pStyle w:val="Header"/>
        <w:tabs>
          <w:tab w:val="left" w:pos="2820"/>
        </w:tabs>
      </w:pPr>
    </w:p>
    <w:p w14:paraId="341E86D0" w14:textId="77777777" w:rsidR="00F97CE4" w:rsidRDefault="00F97CE4" w:rsidP="00BF1D3E">
      <w:pPr>
        <w:pStyle w:val="Header"/>
        <w:tabs>
          <w:tab w:val="left" w:pos="2820"/>
        </w:tabs>
      </w:pPr>
    </w:p>
    <w:p w14:paraId="1226B906" w14:textId="77777777" w:rsidR="00F97CE4" w:rsidRDefault="00F97CE4" w:rsidP="00BF1D3E">
      <w:pPr>
        <w:pStyle w:val="Header"/>
        <w:tabs>
          <w:tab w:val="left" w:pos="2820"/>
        </w:tabs>
      </w:pPr>
    </w:p>
    <w:p w14:paraId="7294DE63" w14:textId="77777777" w:rsidR="00BF1D3E" w:rsidRPr="000A2C0C" w:rsidRDefault="00BF1D3E" w:rsidP="00BF1D3E">
      <w:pPr>
        <w:pStyle w:val="Header"/>
        <w:tabs>
          <w:tab w:val="left" w:pos="2820"/>
        </w:tabs>
      </w:pPr>
      <w:r w:rsidRPr="000A2C0C">
        <w:t xml:space="preserve">                                                                                                                                                </w:t>
      </w:r>
    </w:p>
    <w:p w14:paraId="5424798B" w14:textId="77777777" w:rsidR="00BF1D3E" w:rsidRPr="000A2C0C" w:rsidRDefault="00BF1D3E" w:rsidP="00BF1D3E">
      <w:pPr>
        <w:pStyle w:val="Header"/>
        <w:tabs>
          <w:tab w:val="left" w:pos="2820"/>
        </w:tabs>
      </w:pPr>
      <w:r>
        <w:tab/>
      </w:r>
      <w:r>
        <w:tab/>
      </w:r>
      <w:r>
        <w:tab/>
      </w:r>
      <w:r>
        <w:tab/>
      </w:r>
      <w:r>
        <w:tab/>
      </w:r>
    </w:p>
    <w:p w14:paraId="1657B3D2" w14:textId="77777777" w:rsidR="00BF1D3E" w:rsidRPr="000A2C0C" w:rsidRDefault="00BF1D3E" w:rsidP="00BF1D3E">
      <w:pPr>
        <w:pStyle w:val="Header"/>
        <w:tabs>
          <w:tab w:val="left" w:pos="2820"/>
        </w:tabs>
      </w:pPr>
    </w:p>
    <w:p w14:paraId="3D9A4F76" w14:textId="77777777" w:rsidR="00BF1D3E" w:rsidRPr="000A2C0C" w:rsidRDefault="00BF1D3E" w:rsidP="00BF1D3E">
      <w:pPr>
        <w:pStyle w:val="Header"/>
        <w:tabs>
          <w:tab w:val="left" w:pos="2820"/>
        </w:tabs>
      </w:pPr>
    </w:p>
    <w:p w14:paraId="63E74957" w14:textId="77777777" w:rsidR="009937CC" w:rsidRDefault="009937CC" w:rsidP="009937CC">
      <w:pPr>
        <w:pStyle w:val="BodyText"/>
        <w:rPr>
          <w:rFonts w:ascii="Times New Roman"/>
        </w:rPr>
      </w:pPr>
    </w:p>
    <w:p w14:paraId="3AF588E4" w14:textId="77777777" w:rsidR="009937CC" w:rsidRDefault="009937CC" w:rsidP="009937CC">
      <w:pPr>
        <w:pStyle w:val="BodyText"/>
        <w:rPr>
          <w:rFonts w:ascii="Times New Roman"/>
        </w:rPr>
      </w:pPr>
    </w:p>
    <w:p w14:paraId="78915716" w14:textId="77777777" w:rsidR="009937CC" w:rsidRDefault="009937CC" w:rsidP="009937CC">
      <w:pPr>
        <w:pStyle w:val="BodyText"/>
        <w:rPr>
          <w:rFonts w:ascii="Times New Roman"/>
        </w:rPr>
      </w:pPr>
    </w:p>
    <w:p w14:paraId="7AC6D309" w14:textId="77777777" w:rsidR="009937CC" w:rsidRDefault="009937CC" w:rsidP="009937CC">
      <w:pPr>
        <w:pStyle w:val="BodyText"/>
        <w:rPr>
          <w:rFonts w:ascii="Times New Roman"/>
        </w:rPr>
      </w:pPr>
    </w:p>
    <w:p w14:paraId="389AFDC6" w14:textId="0FA4166C" w:rsidR="009937CC" w:rsidRDefault="00FF7A07" w:rsidP="009937CC">
      <w:pPr>
        <w:pStyle w:val="BodyText"/>
        <w:rPr>
          <w:rFonts w:ascii="Times New Roman"/>
        </w:rPr>
      </w:pPr>
      <w:r>
        <w:rPr>
          <w:rFonts w:ascii="Times New Roman"/>
          <w:noProof/>
          <w:lang w:eastAsia="en-GB"/>
        </w:rPr>
        <w:drawing>
          <wp:anchor distT="0" distB="0" distL="114300" distR="114300" simplePos="0" relativeHeight="251659264" behindDoc="1" locked="0" layoutInCell="1" allowOverlap="1" wp14:anchorId="2487918A" wp14:editId="5542791D">
            <wp:simplePos x="0" y="0"/>
            <wp:positionH relativeFrom="column">
              <wp:posOffset>826770</wp:posOffset>
            </wp:positionH>
            <wp:positionV relativeFrom="paragraph">
              <wp:posOffset>-1895475</wp:posOffset>
            </wp:positionV>
            <wp:extent cx="5816600" cy="10299700"/>
            <wp:effectExtent l="0" t="0" r="0" b="6350"/>
            <wp:wrapNone/>
            <wp:docPr id="28"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6600" cy="1029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14:paraId="2D06785C" w14:textId="77777777" w:rsidR="009937CC" w:rsidRDefault="009937CC" w:rsidP="009937CC">
      <w:pPr>
        <w:pStyle w:val="BodyText"/>
        <w:rPr>
          <w:rFonts w:ascii="Times New Roman"/>
        </w:rPr>
      </w:pPr>
    </w:p>
    <w:p w14:paraId="6C443CAF" w14:textId="77777777" w:rsidR="009937CC" w:rsidRDefault="009937CC" w:rsidP="009937CC">
      <w:pPr>
        <w:pStyle w:val="BodyText"/>
        <w:rPr>
          <w:rFonts w:ascii="Times New Roman"/>
        </w:rPr>
      </w:pPr>
    </w:p>
    <w:p w14:paraId="10D8E88F" w14:textId="77777777" w:rsidR="009937CC" w:rsidRDefault="009937CC" w:rsidP="009937CC">
      <w:pPr>
        <w:pStyle w:val="BodyText"/>
        <w:rPr>
          <w:rFonts w:ascii="Times New Roman"/>
        </w:rPr>
      </w:pPr>
    </w:p>
    <w:p w14:paraId="6C5E6779" w14:textId="77777777" w:rsidR="009937CC" w:rsidRDefault="009937CC" w:rsidP="009937CC">
      <w:pPr>
        <w:pStyle w:val="BodyText"/>
        <w:rPr>
          <w:rFonts w:ascii="Times New Roman"/>
        </w:rPr>
      </w:pPr>
    </w:p>
    <w:p w14:paraId="7CB48FA1" w14:textId="77777777" w:rsidR="009937CC" w:rsidRDefault="009937CC" w:rsidP="009937CC">
      <w:pPr>
        <w:pStyle w:val="BodyText"/>
        <w:rPr>
          <w:rFonts w:ascii="Times New Roman"/>
        </w:rPr>
      </w:pPr>
    </w:p>
    <w:p w14:paraId="35F70B4D" w14:textId="77777777" w:rsidR="009937CC" w:rsidRDefault="009937CC" w:rsidP="009937CC">
      <w:pPr>
        <w:pStyle w:val="BodyText"/>
        <w:rPr>
          <w:rFonts w:ascii="Times New Roman"/>
        </w:rPr>
      </w:pPr>
    </w:p>
    <w:p w14:paraId="61794D88" w14:textId="77777777" w:rsidR="009937CC" w:rsidRDefault="009937CC" w:rsidP="009937CC">
      <w:pPr>
        <w:pStyle w:val="BodyText"/>
        <w:rPr>
          <w:rFonts w:ascii="Times New Roman"/>
        </w:rPr>
      </w:pPr>
    </w:p>
    <w:p w14:paraId="05A03BF7" w14:textId="77777777" w:rsidR="009937CC" w:rsidRDefault="009937CC" w:rsidP="009937CC">
      <w:pPr>
        <w:pStyle w:val="BodyText"/>
        <w:rPr>
          <w:rFonts w:ascii="Times New Roman"/>
        </w:rPr>
      </w:pPr>
    </w:p>
    <w:p w14:paraId="6F29393C" w14:textId="77777777" w:rsidR="009937CC" w:rsidRDefault="009937CC" w:rsidP="009937CC">
      <w:pPr>
        <w:pStyle w:val="BodyText"/>
        <w:rPr>
          <w:rFonts w:ascii="Times New Roman"/>
        </w:rPr>
      </w:pPr>
    </w:p>
    <w:p w14:paraId="1B85B014" w14:textId="77777777" w:rsidR="009937CC" w:rsidRDefault="009937CC" w:rsidP="009937CC">
      <w:pPr>
        <w:pStyle w:val="BodyText"/>
        <w:rPr>
          <w:rFonts w:ascii="Times New Roman"/>
        </w:rPr>
      </w:pPr>
    </w:p>
    <w:p w14:paraId="72C0BDB6" w14:textId="77777777" w:rsidR="009937CC" w:rsidRDefault="009937CC" w:rsidP="009937CC">
      <w:pPr>
        <w:pStyle w:val="BodyText"/>
        <w:rPr>
          <w:rFonts w:ascii="Times New Roman"/>
        </w:rPr>
      </w:pPr>
    </w:p>
    <w:p w14:paraId="673AF623" w14:textId="77777777" w:rsidR="009937CC" w:rsidRDefault="009937CC" w:rsidP="009937CC">
      <w:pPr>
        <w:pStyle w:val="BodyText"/>
        <w:rPr>
          <w:rFonts w:ascii="Times New Roman"/>
        </w:rPr>
      </w:pPr>
    </w:p>
    <w:p w14:paraId="5C0182D7" w14:textId="77777777" w:rsidR="009937CC" w:rsidRDefault="009937CC" w:rsidP="009937CC">
      <w:pPr>
        <w:pStyle w:val="BodyText"/>
        <w:rPr>
          <w:rFonts w:ascii="Times New Roman"/>
        </w:rPr>
      </w:pPr>
    </w:p>
    <w:p w14:paraId="4105620C" w14:textId="77777777" w:rsidR="009937CC" w:rsidRDefault="009937CC" w:rsidP="009937CC">
      <w:pPr>
        <w:pStyle w:val="BodyText"/>
        <w:rPr>
          <w:rFonts w:ascii="Times New Roman"/>
        </w:rPr>
      </w:pPr>
    </w:p>
    <w:p w14:paraId="068F4E70" w14:textId="77777777" w:rsidR="009937CC" w:rsidRDefault="009937CC" w:rsidP="009937CC">
      <w:pPr>
        <w:pStyle w:val="BodyText"/>
        <w:rPr>
          <w:rFonts w:ascii="Times New Roman"/>
        </w:rPr>
      </w:pPr>
    </w:p>
    <w:p w14:paraId="42C0DDA1" w14:textId="77777777" w:rsidR="009937CC" w:rsidRDefault="009937CC" w:rsidP="009937CC">
      <w:pPr>
        <w:pStyle w:val="BodyText"/>
        <w:rPr>
          <w:rFonts w:ascii="Times New Roman"/>
        </w:rPr>
      </w:pPr>
    </w:p>
    <w:p w14:paraId="7C033324" w14:textId="77777777" w:rsidR="009937CC" w:rsidRDefault="009937CC" w:rsidP="009937CC">
      <w:pPr>
        <w:pStyle w:val="BodyText"/>
        <w:rPr>
          <w:rFonts w:ascii="Times New Roman"/>
        </w:rPr>
      </w:pPr>
    </w:p>
    <w:p w14:paraId="21CDDB20" w14:textId="77777777" w:rsidR="009937CC" w:rsidRDefault="009937CC" w:rsidP="009937CC">
      <w:pPr>
        <w:pStyle w:val="BodyText"/>
        <w:rPr>
          <w:rFonts w:ascii="Times New Roman"/>
        </w:rPr>
      </w:pPr>
    </w:p>
    <w:p w14:paraId="715C1597" w14:textId="77777777" w:rsidR="009937CC" w:rsidRDefault="009937CC" w:rsidP="009937CC">
      <w:pPr>
        <w:pStyle w:val="BodyText"/>
        <w:rPr>
          <w:rFonts w:ascii="Times New Roman"/>
        </w:rPr>
      </w:pPr>
    </w:p>
    <w:p w14:paraId="74B5402F" w14:textId="77777777" w:rsidR="009937CC" w:rsidRDefault="009937CC" w:rsidP="009937CC">
      <w:pPr>
        <w:pStyle w:val="BodyText"/>
        <w:rPr>
          <w:rFonts w:ascii="Times New Roman"/>
        </w:rPr>
      </w:pPr>
    </w:p>
    <w:p w14:paraId="686C2E80" w14:textId="77777777" w:rsidR="009937CC" w:rsidRPr="00455A6E" w:rsidRDefault="009937CC" w:rsidP="009937CC">
      <w:pPr>
        <w:pStyle w:val="BodyText"/>
        <w:rPr>
          <w:rFonts w:ascii="Times New Roman"/>
        </w:rPr>
      </w:pPr>
    </w:p>
    <w:p w14:paraId="1940E634" w14:textId="77777777" w:rsidR="00FF7A07" w:rsidRDefault="00FF7A07" w:rsidP="00FF7A07">
      <w:pPr>
        <w:pStyle w:val="SectionTitle"/>
        <w:rPr>
          <w:rFonts w:ascii="Times New Roman"/>
          <w:b w:val="0"/>
          <w:noProof w:val="0"/>
          <w:color w:val="auto"/>
          <w:sz w:val="20"/>
          <w:szCs w:val="22"/>
          <w:lang w:eastAsia="en-US"/>
        </w:rPr>
      </w:pPr>
    </w:p>
    <w:p w14:paraId="252AEBE2" w14:textId="77777777" w:rsidR="000C13C3" w:rsidRDefault="000C13C3" w:rsidP="00FF7A07">
      <w:pPr>
        <w:pStyle w:val="SectionTitle"/>
        <w:rPr>
          <w:sz w:val="56"/>
          <w:szCs w:val="56"/>
        </w:rPr>
      </w:pPr>
    </w:p>
    <w:p w14:paraId="69CC1C79" w14:textId="55E74ABC" w:rsidR="004747F6" w:rsidRPr="00FF7A07" w:rsidRDefault="009937CC" w:rsidP="00FF7A07">
      <w:pPr>
        <w:pStyle w:val="SectionTitle"/>
        <w:rPr>
          <w:sz w:val="56"/>
          <w:szCs w:val="56"/>
        </w:rPr>
      </w:pPr>
      <w:r w:rsidRPr="00FF7A07">
        <w:rPr>
          <w:sz w:val="56"/>
          <w:szCs w:val="56"/>
        </w:rPr>
        <w:t xml:space="preserve">Strategy to 2020: </w:t>
      </w:r>
    </w:p>
    <w:p w14:paraId="566D4804" w14:textId="7014A1F6" w:rsidR="009937CC" w:rsidRDefault="009937CC" w:rsidP="00FF7A07">
      <w:pPr>
        <w:pStyle w:val="SectionTitle"/>
        <w:rPr>
          <w:sz w:val="56"/>
          <w:szCs w:val="56"/>
        </w:rPr>
      </w:pPr>
      <w:r w:rsidRPr="009937CC">
        <w:rPr>
          <w:sz w:val="56"/>
          <w:szCs w:val="56"/>
        </w:rPr>
        <w:t>20</w:t>
      </w:r>
      <w:r w:rsidR="002E32BF">
        <w:rPr>
          <w:sz w:val="56"/>
          <w:szCs w:val="56"/>
        </w:rPr>
        <w:t>20</w:t>
      </w:r>
      <w:r w:rsidRPr="009937CC">
        <w:rPr>
          <w:sz w:val="56"/>
          <w:szCs w:val="56"/>
        </w:rPr>
        <w:t xml:space="preserve"> Targets</w:t>
      </w:r>
    </w:p>
    <w:p w14:paraId="182C58BE" w14:textId="6F2BA2EE" w:rsidR="008D17B4" w:rsidRPr="009937CC" w:rsidRDefault="002E32BF" w:rsidP="008D17B4">
      <w:pPr>
        <w:pStyle w:val="SectionSub-Title"/>
      </w:pPr>
      <w:r>
        <w:t>For Governing Board approval</w:t>
      </w:r>
    </w:p>
    <w:p w14:paraId="2F644508" w14:textId="77777777" w:rsidR="00B96A28" w:rsidRDefault="00B96A28" w:rsidP="00B96A28">
      <w:pPr>
        <w:spacing w:before="4"/>
        <w:ind w:firstLine="720"/>
        <w:rPr>
          <w:color w:val="962D91"/>
          <w:sz w:val="48"/>
          <w:szCs w:val="48"/>
        </w:rPr>
      </w:pPr>
    </w:p>
    <w:p w14:paraId="34B919C6" w14:textId="77777777" w:rsidR="00FF7A07" w:rsidRDefault="00FF7A07" w:rsidP="00FF7A07">
      <w:pPr>
        <w:spacing w:before="4"/>
        <w:rPr>
          <w:color w:val="962D91"/>
          <w:sz w:val="48"/>
          <w:szCs w:val="48"/>
        </w:rPr>
      </w:pPr>
    </w:p>
    <w:p w14:paraId="3C1EA0EA" w14:textId="77777777" w:rsidR="00FF7A07" w:rsidRDefault="00FF7A07" w:rsidP="00FF7A07">
      <w:pPr>
        <w:spacing w:before="4"/>
        <w:rPr>
          <w:color w:val="962D91"/>
          <w:sz w:val="48"/>
          <w:szCs w:val="48"/>
        </w:rPr>
      </w:pPr>
    </w:p>
    <w:p w14:paraId="7E0FFEA1" w14:textId="77777777" w:rsidR="00FF7A07" w:rsidRDefault="00FF7A07" w:rsidP="00FF7A07">
      <w:pPr>
        <w:spacing w:before="4"/>
        <w:rPr>
          <w:color w:val="962D91"/>
          <w:sz w:val="48"/>
          <w:szCs w:val="48"/>
        </w:rPr>
      </w:pPr>
    </w:p>
    <w:p w14:paraId="46A86D95" w14:textId="77777777" w:rsidR="00FF7A07" w:rsidRDefault="00FF7A07" w:rsidP="00FF7A07">
      <w:pPr>
        <w:spacing w:before="4"/>
        <w:rPr>
          <w:color w:val="962D91"/>
          <w:sz w:val="48"/>
          <w:szCs w:val="48"/>
        </w:rPr>
      </w:pPr>
    </w:p>
    <w:p w14:paraId="4680DA26" w14:textId="77777777" w:rsidR="00B96A28" w:rsidRPr="00F22408" w:rsidRDefault="009937CC" w:rsidP="00FF7A07">
      <w:pPr>
        <w:spacing w:before="4"/>
        <w:rPr>
          <w:rFonts w:asciiTheme="majorHAnsi" w:hAnsiTheme="majorHAnsi"/>
          <w:b/>
          <w:color w:val="002060"/>
          <w:sz w:val="28"/>
          <w:szCs w:val="28"/>
        </w:rPr>
      </w:pPr>
      <w:r w:rsidRPr="00F22408">
        <w:rPr>
          <w:rFonts w:asciiTheme="majorHAnsi" w:hAnsiTheme="majorHAnsi"/>
          <w:b/>
          <w:color w:val="002060"/>
          <w:sz w:val="28"/>
          <w:szCs w:val="28"/>
        </w:rPr>
        <w:t xml:space="preserve">Trusted evidence. </w:t>
      </w:r>
    </w:p>
    <w:p w14:paraId="583DC8A8" w14:textId="77777777" w:rsidR="00B96A28" w:rsidRPr="00F22408" w:rsidRDefault="009937CC" w:rsidP="00FF7A07">
      <w:pPr>
        <w:spacing w:before="4"/>
        <w:rPr>
          <w:rFonts w:asciiTheme="majorHAnsi" w:hAnsiTheme="majorHAnsi"/>
          <w:b/>
          <w:sz w:val="28"/>
          <w:szCs w:val="28"/>
        </w:rPr>
      </w:pPr>
      <w:r w:rsidRPr="00F22408">
        <w:rPr>
          <w:rFonts w:asciiTheme="majorHAnsi" w:hAnsiTheme="majorHAnsi"/>
          <w:b/>
          <w:color w:val="002060"/>
          <w:sz w:val="28"/>
          <w:szCs w:val="28"/>
        </w:rPr>
        <w:t>Informed decisions.</w:t>
      </w:r>
      <w:r w:rsidRPr="00F22408">
        <w:rPr>
          <w:rFonts w:asciiTheme="majorHAnsi" w:hAnsiTheme="majorHAnsi"/>
          <w:b/>
          <w:sz w:val="28"/>
          <w:szCs w:val="28"/>
        </w:rPr>
        <w:t xml:space="preserve"> </w:t>
      </w:r>
    </w:p>
    <w:p w14:paraId="5547C19A" w14:textId="360AE2B3" w:rsidR="009937CC" w:rsidRPr="00F22408" w:rsidRDefault="00FF7A07" w:rsidP="00FF7A07">
      <w:pPr>
        <w:spacing w:before="4"/>
        <w:rPr>
          <w:color w:val="962D91" w:themeColor="background2"/>
          <w:sz w:val="28"/>
          <w:szCs w:val="28"/>
        </w:rPr>
        <w:sectPr w:rsidR="009937CC" w:rsidRPr="00F22408" w:rsidSect="00FF7A07">
          <w:headerReference w:type="default" r:id="rId10"/>
          <w:pgSz w:w="11900" w:h="16820"/>
          <w:pgMar w:top="426" w:right="1680" w:bottom="280" w:left="1134" w:header="720" w:footer="720" w:gutter="0"/>
          <w:cols w:space="720"/>
          <w:titlePg/>
          <w:docGrid w:linePitch="299"/>
        </w:sectPr>
      </w:pPr>
      <w:r w:rsidRPr="00F22408">
        <w:rPr>
          <w:rFonts w:asciiTheme="majorHAnsi" w:hAnsiTheme="majorHAnsi"/>
          <w:b/>
          <w:color w:val="962D91" w:themeColor="background2"/>
          <w:sz w:val="28"/>
          <w:szCs w:val="28"/>
        </w:rPr>
        <w:t>Better healt</w:t>
      </w:r>
      <w:r w:rsidR="00E63055">
        <w:rPr>
          <w:rFonts w:asciiTheme="majorHAnsi" w:hAnsiTheme="majorHAnsi"/>
          <w:b/>
          <w:color w:val="962D91" w:themeColor="background2"/>
          <w:sz w:val="28"/>
          <w:szCs w:val="28"/>
        </w:rPr>
        <w:t>h</w:t>
      </w:r>
      <w:r w:rsidR="00BC43FB">
        <w:rPr>
          <w:rFonts w:asciiTheme="majorHAnsi" w:hAnsiTheme="majorHAnsi"/>
          <w:b/>
          <w:color w:val="962D91" w:themeColor="background2"/>
          <w:sz w:val="28"/>
          <w:szCs w:val="28"/>
        </w:rPr>
        <w:t>.</w:t>
      </w:r>
    </w:p>
    <w:p w14:paraId="3CDB125A" w14:textId="3794F44C" w:rsidR="00646336" w:rsidRDefault="004D5935" w:rsidP="00B96A28">
      <w:pPr>
        <w:pStyle w:val="BodyText"/>
        <w:ind w:right="96"/>
        <w:jc w:val="both"/>
        <w:rPr>
          <w:sz w:val="36"/>
          <w:szCs w:val="36"/>
        </w:rPr>
      </w:pPr>
      <w:r>
        <w:rPr>
          <w:noProof/>
          <w:sz w:val="36"/>
          <w:szCs w:val="36"/>
        </w:rPr>
        <w:lastRenderedPageBreak/>
        <mc:AlternateContent>
          <mc:Choice Requires="wps">
            <w:drawing>
              <wp:anchor distT="0" distB="0" distL="114300" distR="114300" simplePos="0" relativeHeight="251664384" behindDoc="0" locked="0" layoutInCell="1" allowOverlap="1" wp14:anchorId="2E3B7142" wp14:editId="35D56097">
                <wp:simplePos x="0" y="0"/>
                <wp:positionH relativeFrom="column">
                  <wp:posOffset>50377</wp:posOffset>
                </wp:positionH>
                <wp:positionV relativeFrom="paragraph">
                  <wp:posOffset>1015577</wp:posOffset>
                </wp:positionV>
                <wp:extent cx="8915400" cy="809625"/>
                <wp:effectExtent l="12700" t="12700" r="12700" b="15875"/>
                <wp:wrapNone/>
                <wp:docPr id="2" name="Text Box 2"/>
                <wp:cNvGraphicFramePr/>
                <a:graphic xmlns:a="http://schemas.openxmlformats.org/drawingml/2006/main">
                  <a:graphicData uri="http://schemas.microsoft.com/office/word/2010/wordprocessingShape">
                    <wps:wsp>
                      <wps:cNvSpPr txBox="1"/>
                      <wps:spPr>
                        <a:xfrm>
                          <a:off x="0" y="0"/>
                          <a:ext cx="8915400" cy="809625"/>
                        </a:xfrm>
                        <a:prstGeom prst="flowChartAlternateProcess">
                          <a:avLst/>
                        </a:prstGeom>
                        <a:solidFill>
                          <a:schemeClr val="bg1">
                            <a:lumMod val="85000"/>
                          </a:schemeClr>
                        </a:solidFill>
                        <a:ln/>
                      </wps:spPr>
                      <wps:style>
                        <a:lnRef idx="2">
                          <a:schemeClr val="accent6"/>
                        </a:lnRef>
                        <a:fillRef idx="1">
                          <a:schemeClr val="lt1"/>
                        </a:fillRef>
                        <a:effectRef idx="0">
                          <a:schemeClr val="accent6"/>
                        </a:effectRef>
                        <a:fontRef idx="minor">
                          <a:schemeClr val="dk1"/>
                        </a:fontRef>
                      </wps:style>
                      <wps:txbx>
                        <w:txbxContent>
                          <w:p w14:paraId="572E6C68" w14:textId="77777777" w:rsidR="000C13C3" w:rsidRDefault="00826158" w:rsidP="000C13C3">
                            <w:pPr>
                              <w:pStyle w:val="BodyText"/>
                              <w:ind w:right="96"/>
                              <w:jc w:val="center"/>
                              <w:rPr>
                                <w:color w:val="002060"/>
                                <w:sz w:val="40"/>
                                <w:szCs w:val="40"/>
                              </w:rPr>
                            </w:pPr>
                            <w:r w:rsidRPr="000C13C3">
                              <w:rPr>
                                <w:i/>
                                <w:color w:val="002060"/>
                                <w:sz w:val="40"/>
                                <w:szCs w:val="40"/>
                              </w:rPr>
                              <w:t xml:space="preserve">“Strategy to 2020 </w:t>
                            </w:r>
                            <w:r w:rsidRPr="000C13C3">
                              <w:rPr>
                                <w:color w:val="002060"/>
                                <w:sz w:val="40"/>
                                <w:szCs w:val="40"/>
                              </w:rPr>
                              <w:t>aims to put Cochrane evidence at the heart of health</w:t>
                            </w:r>
                          </w:p>
                          <w:p w14:paraId="4F4D7A0C" w14:textId="4551336B" w:rsidR="00826158" w:rsidRPr="000C13C3" w:rsidRDefault="00826158" w:rsidP="000C13C3">
                            <w:pPr>
                              <w:pStyle w:val="BodyText"/>
                              <w:ind w:right="96"/>
                              <w:jc w:val="center"/>
                              <w:rPr>
                                <w:color w:val="002060"/>
                                <w:sz w:val="40"/>
                                <w:szCs w:val="40"/>
                              </w:rPr>
                            </w:pPr>
                            <w:r w:rsidRPr="000C13C3">
                              <w:rPr>
                                <w:color w:val="002060"/>
                                <w:sz w:val="40"/>
                                <w:szCs w:val="40"/>
                              </w:rPr>
                              <w:t>decision-making all over the world.”</w:t>
                            </w:r>
                          </w:p>
                          <w:p w14:paraId="509B4557" w14:textId="77777777" w:rsidR="00826158" w:rsidRDefault="008261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3B7142"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Text Box 2" o:spid="_x0000_s1026" type="#_x0000_t176" style="position:absolute;left:0;text-align:left;margin-left:3.95pt;margin-top:79.95pt;width:702pt;height:6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ue3XoQIAAJcFAAAOAAAAZHJzL2Uyb0RvYy54bWysVN1P2zAQf5+0/8Hy+0gataxUpKgrYprE&#13;&#10;AA0mnl3HaaI5Ps++Nun+es5OGhhDmjTtJTnf9/3u4/yiazTbK+drMDmfnKScKSOhqM02598frj7M&#13;&#10;OfMoTCE0GJXzg/L8Yvn+3XlrFyqDCnShHCMnxi9am/MK0S6SxMtKNcKfgFWGhCW4RiA93TYpnGjJ&#13;&#10;e6OTLE1PkxZcYR1I5T1xL3shX0b/Zakk3palV8h0zik3jF8Xv5vwTZbnYrF1wla1HNIQ/5BFI2pD&#13;&#10;QUdXlwIF27n6D1dNLR14KPFEQpNAWdZSxRqomkn6qpr7SlgVayFwvB1h8v/PrbzZ3zlWFznPODOi&#13;&#10;oRY9qA7ZJ+hYFtBprV+Q0r0lNeyITV0+8j0xQ9Fd6Zrwp3IYyQnnw4htcCaJOT+bzKYpiSTJ5unZ&#13;&#10;aTYLbpJna+s8flbQsEDkvNTQrivhcKVROSNQ3fVtjjiL/bXH3v5oFzLwoOviqtY6PsIQqbV2bC+o&#13;&#10;/ZvtJJrqXfMVip43n6WUU+8nzlxQj1n95kmboBKg6EuOFB60CmG0+aZKgpCKzGKA0VEfQ0ipDJ4O&#13;&#10;UaJ2MCspy9Gwz+yVocaINEE06AYzFYd6NEz/HnG0iFHB4Gjc1AbcWw6KH2PkXv9YfV9zKB+7TUeg&#13;&#10;BHIDxYGmw0G/Xd7Kq5paeC083glH60RdpxOBt/QJXc05DBRnFbhfb/GDPk05STlraT1z7n/uhFOc&#13;&#10;6S+G5v9sMp2GfY6P6exjRg/3UrJ5KTG7Zg00AhM6RlZGMuijPpKlg+aRLskqRCWRMJJi5xyP5Br7&#13;&#10;o0GXSKrVKirRBluB1+beyuA6wBtm8aF7FM4OU4w0/zdwXGSxeDW3vW6wNLDaIZR1HOpnVAfgafvj&#13;&#10;VA6XKpyXl++o9XxPl08AAAD//wMAUEsDBBQABgAIAAAAIQAoRqid4wAAAA8BAAAPAAAAZHJzL2Rv&#13;&#10;d25yZXYueG1sTE/BTsMwDL0j8Q+RkbixtNWgW9d0QkNMQhzGyrRz2pi2oknaJNvK3+Od4GI9+9nP&#13;&#10;7+XrSffsjM531giIZxEwNLVVnWkEHD5fHxbAfJBGyd4aFPCDHtbF7U0uM2UvZo/nMjSMRIzPpIA2&#13;&#10;hCHj3NctaulndkBD3Jd1WgZqXcOVkxcS1z1PouiJa9kZ+tDKATct1t/lSQs47t1mxz/KsE2b8X18&#13;&#10;2yVjNW6FuL+bXlZUnlfAAk7h7wKuGcg/FGSssiejPOsFpEtapPHjksCVn8cxoUpAskjnwIuc/89R&#13;&#10;/AIAAP//AwBQSwECLQAUAAYACAAAACEAtoM4kv4AAADhAQAAEwAAAAAAAAAAAAAAAAAAAAAAW0Nv&#13;&#10;bnRlbnRfVHlwZXNdLnhtbFBLAQItABQABgAIAAAAIQA4/SH/1gAAAJQBAAALAAAAAAAAAAAAAAAA&#13;&#10;AC8BAABfcmVscy8ucmVsc1BLAQItABQABgAIAAAAIQDPue3XoQIAAJcFAAAOAAAAAAAAAAAAAAAA&#13;&#10;AC4CAABkcnMvZTJvRG9jLnhtbFBLAQItABQABgAIAAAAIQAoRqid4wAAAA8BAAAPAAAAAAAAAAAA&#13;&#10;AAAAAPsEAABkcnMvZG93bnJldi54bWxQSwUGAAAAAAQABADzAAAACwYAAAAA&#13;&#10;" fillcolor="#d8d8d8 [2732]" strokecolor="#e6e6e6 [3209]" strokeweight="2pt">
                <v:textbox>
                  <w:txbxContent>
                    <w:p w14:paraId="572E6C68" w14:textId="77777777" w:rsidR="000C13C3" w:rsidRDefault="00826158" w:rsidP="000C13C3">
                      <w:pPr>
                        <w:pStyle w:val="BodyText"/>
                        <w:ind w:right="96"/>
                        <w:jc w:val="center"/>
                        <w:rPr>
                          <w:color w:val="002060"/>
                          <w:sz w:val="40"/>
                          <w:szCs w:val="40"/>
                        </w:rPr>
                      </w:pPr>
                      <w:r w:rsidRPr="000C13C3">
                        <w:rPr>
                          <w:i/>
                          <w:color w:val="002060"/>
                          <w:sz w:val="40"/>
                          <w:szCs w:val="40"/>
                        </w:rPr>
                        <w:t xml:space="preserve">“Strategy to 2020 </w:t>
                      </w:r>
                      <w:r w:rsidRPr="000C13C3">
                        <w:rPr>
                          <w:color w:val="002060"/>
                          <w:sz w:val="40"/>
                          <w:szCs w:val="40"/>
                        </w:rPr>
                        <w:t>aims to put Cochrane evidence at the heart of health</w:t>
                      </w:r>
                    </w:p>
                    <w:p w14:paraId="4F4D7A0C" w14:textId="4551336B" w:rsidR="00826158" w:rsidRPr="000C13C3" w:rsidRDefault="00826158" w:rsidP="000C13C3">
                      <w:pPr>
                        <w:pStyle w:val="BodyText"/>
                        <w:ind w:right="96"/>
                        <w:jc w:val="center"/>
                        <w:rPr>
                          <w:color w:val="002060"/>
                          <w:sz w:val="40"/>
                          <w:szCs w:val="40"/>
                        </w:rPr>
                      </w:pPr>
                      <w:r w:rsidRPr="000C13C3">
                        <w:rPr>
                          <w:color w:val="002060"/>
                          <w:sz w:val="40"/>
                          <w:szCs w:val="40"/>
                        </w:rPr>
                        <w:t>decision-making all over the world.”</w:t>
                      </w:r>
                    </w:p>
                    <w:p w14:paraId="509B4557" w14:textId="77777777" w:rsidR="00826158" w:rsidRDefault="00826158"/>
                  </w:txbxContent>
                </v:textbox>
              </v:shape>
            </w:pict>
          </mc:Fallback>
        </mc:AlternateContent>
      </w:r>
      <w:r w:rsidR="00581324">
        <w:rPr>
          <w:noProof/>
          <w:sz w:val="36"/>
          <w:szCs w:val="36"/>
        </w:rPr>
        <w:drawing>
          <wp:inline distT="0" distB="0" distL="0" distR="0" wp14:anchorId="208FF0E4" wp14:editId="76AA49FB">
            <wp:extent cx="8953500" cy="1009650"/>
            <wp:effectExtent l="12700" t="0" r="12700" b="63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22EB5048" w14:textId="3D77CA34" w:rsidR="008479F3" w:rsidRDefault="008479F3" w:rsidP="00B96A28">
      <w:pPr>
        <w:pStyle w:val="BodyText"/>
        <w:ind w:right="96"/>
        <w:jc w:val="both"/>
        <w:rPr>
          <w:sz w:val="36"/>
          <w:szCs w:val="36"/>
        </w:rPr>
      </w:pPr>
    </w:p>
    <w:p w14:paraId="7E245B5A" w14:textId="1C8E2E00" w:rsidR="00581324" w:rsidRDefault="00581324" w:rsidP="00581324">
      <w:pPr>
        <w:pStyle w:val="SectionSub-Title"/>
      </w:pPr>
    </w:p>
    <w:p w14:paraId="33871B40" w14:textId="77777777" w:rsidR="00581324" w:rsidRDefault="00581324" w:rsidP="00581324">
      <w:pPr>
        <w:pStyle w:val="SectionSub-Title"/>
      </w:pPr>
    </w:p>
    <w:p w14:paraId="78677AB4" w14:textId="77777777" w:rsidR="009F6247" w:rsidRDefault="009F6247" w:rsidP="00310499">
      <w:pPr>
        <w:pStyle w:val="SectionSub-Title"/>
        <w:spacing w:after="0" w:line="220" w:lineRule="exact"/>
        <w:ind w:right="4394"/>
      </w:pPr>
    </w:p>
    <w:p w14:paraId="03B8EF9C" w14:textId="135EA6FA" w:rsidR="009F6247" w:rsidRDefault="000C13C3" w:rsidP="00581324">
      <w:pPr>
        <w:pStyle w:val="SectionSub-Title"/>
      </w:pPr>
      <w:r>
        <w:t>Introduction</w:t>
      </w:r>
      <w:r w:rsidR="00581324">
        <w:t>:</w:t>
      </w:r>
    </w:p>
    <w:tbl>
      <w:tblPr>
        <w:tblStyle w:val="TableGridLight1"/>
        <w:tblW w:w="14454" w:type="dxa"/>
        <w:tblLayout w:type="fixed"/>
        <w:tblLook w:val="01E0" w:firstRow="1" w:lastRow="1" w:firstColumn="1" w:lastColumn="1" w:noHBand="0" w:noVBand="0"/>
      </w:tblPr>
      <w:tblGrid>
        <w:gridCol w:w="4531"/>
        <w:gridCol w:w="9923"/>
      </w:tblGrid>
      <w:tr w:rsidR="00D86258" w:rsidRPr="0028115A" w14:paraId="6A15032A" w14:textId="77777777" w:rsidTr="0028115A">
        <w:trPr>
          <w:trHeight w:val="420"/>
        </w:trPr>
        <w:tc>
          <w:tcPr>
            <w:tcW w:w="4531" w:type="dxa"/>
            <w:hideMark/>
          </w:tcPr>
          <w:p w14:paraId="6DC1126C" w14:textId="77777777" w:rsidR="00D86258" w:rsidRPr="0028115A" w:rsidRDefault="00D86258">
            <w:pPr>
              <w:spacing w:after="120"/>
              <w:rPr>
                <w:rFonts w:ascii="Source Sans Pro" w:hAnsi="Source Sans Pro"/>
                <w:b/>
                <w:sz w:val="20"/>
                <w:szCs w:val="20"/>
                <w:lang w:val="en-US"/>
              </w:rPr>
            </w:pPr>
            <w:r w:rsidRPr="0028115A">
              <w:rPr>
                <w:rFonts w:ascii="Source Sans Pro" w:hAnsi="Source Sans Pro"/>
                <w:b/>
                <w:sz w:val="20"/>
                <w:szCs w:val="20"/>
                <w:lang w:val="en-US"/>
              </w:rPr>
              <w:t>From:</w:t>
            </w:r>
          </w:p>
        </w:tc>
        <w:tc>
          <w:tcPr>
            <w:tcW w:w="9923" w:type="dxa"/>
            <w:hideMark/>
          </w:tcPr>
          <w:p w14:paraId="22EC9B78" w14:textId="27598533" w:rsidR="00D86258" w:rsidRPr="0028115A" w:rsidRDefault="0028115A">
            <w:pPr>
              <w:spacing w:after="120"/>
              <w:rPr>
                <w:rFonts w:ascii="Source Sans Pro" w:hAnsi="Source Sans Pro"/>
                <w:sz w:val="20"/>
                <w:szCs w:val="20"/>
                <w:lang w:val="en-US"/>
              </w:rPr>
            </w:pPr>
            <w:r>
              <w:rPr>
                <w:rFonts w:ascii="Source Sans Pro" w:hAnsi="Source Sans Pro"/>
                <w:sz w:val="20"/>
                <w:szCs w:val="20"/>
                <w:lang w:val="en-US"/>
              </w:rPr>
              <w:t>Mark Wilson, CEO</w:t>
            </w:r>
          </w:p>
        </w:tc>
      </w:tr>
      <w:tr w:rsidR="00D86258" w:rsidRPr="0028115A" w14:paraId="702F8FBD" w14:textId="77777777" w:rsidTr="0028115A">
        <w:trPr>
          <w:trHeight w:val="420"/>
        </w:trPr>
        <w:tc>
          <w:tcPr>
            <w:tcW w:w="4531" w:type="dxa"/>
            <w:hideMark/>
          </w:tcPr>
          <w:p w14:paraId="4327416B" w14:textId="7AA811EB" w:rsidR="00D86258" w:rsidRPr="0028115A" w:rsidRDefault="00D86258">
            <w:pPr>
              <w:spacing w:after="120"/>
              <w:rPr>
                <w:rFonts w:ascii="Source Sans Pro" w:hAnsi="Source Sans Pro"/>
                <w:b/>
                <w:sz w:val="20"/>
                <w:szCs w:val="20"/>
                <w:lang w:val="en-US"/>
              </w:rPr>
            </w:pPr>
            <w:r w:rsidRPr="0028115A">
              <w:rPr>
                <w:rFonts w:ascii="Source Sans Pro" w:hAnsi="Source Sans Pro"/>
                <w:b/>
                <w:sz w:val="20"/>
                <w:szCs w:val="20"/>
                <w:lang w:val="en-US"/>
              </w:rPr>
              <w:t>People Involved in developing the paper:</w:t>
            </w:r>
          </w:p>
        </w:tc>
        <w:tc>
          <w:tcPr>
            <w:tcW w:w="9923" w:type="dxa"/>
            <w:hideMark/>
          </w:tcPr>
          <w:p w14:paraId="54057392" w14:textId="25ACEBF6" w:rsidR="00D86258" w:rsidRPr="0028115A" w:rsidRDefault="0028115A">
            <w:pPr>
              <w:spacing w:after="120"/>
              <w:rPr>
                <w:rFonts w:ascii="Source Sans Pro" w:hAnsi="Source Sans Pro"/>
                <w:sz w:val="20"/>
                <w:szCs w:val="20"/>
                <w:lang w:val="en-US"/>
              </w:rPr>
            </w:pPr>
            <w:r>
              <w:rPr>
                <w:rFonts w:ascii="Source Sans Pro" w:hAnsi="Source Sans Pro"/>
                <w:sz w:val="20"/>
                <w:szCs w:val="20"/>
                <w:lang w:val="en-US"/>
              </w:rPr>
              <w:t>Senior Management Team</w:t>
            </w:r>
          </w:p>
        </w:tc>
      </w:tr>
      <w:tr w:rsidR="00D86258" w:rsidRPr="0028115A" w14:paraId="1F2E6274" w14:textId="77777777" w:rsidTr="0028115A">
        <w:trPr>
          <w:trHeight w:val="420"/>
        </w:trPr>
        <w:tc>
          <w:tcPr>
            <w:tcW w:w="4531" w:type="dxa"/>
            <w:hideMark/>
          </w:tcPr>
          <w:p w14:paraId="6BAA2E7C" w14:textId="77777777" w:rsidR="00D86258" w:rsidRPr="0028115A" w:rsidRDefault="00D86258">
            <w:pPr>
              <w:spacing w:after="120"/>
              <w:rPr>
                <w:rFonts w:ascii="Source Sans Pro" w:hAnsi="Source Sans Pro"/>
                <w:b/>
                <w:sz w:val="20"/>
                <w:szCs w:val="20"/>
                <w:lang w:val="en-US"/>
              </w:rPr>
            </w:pPr>
            <w:r w:rsidRPr="0028115A">
              <w:rPr>
                <w:rFonts w:ascii="Source Sans Pro" w:hAnsi="Source Sans Pro"/>
                <w:b/>
                <w:sz w:val="20"/>
                <w:szCs w:val="20"/>
                <w:lang w:val="en-US"/>
              </w:rPr>
              <w:t>Date:</w:t>
            </w:r>
          </w:p>
        </w:tc>
        <w:tc>
          <w:tcPr>
            <w:tcW w:w="9923" w:type="dxa"/>
            <w:hideMark/>
          </w:tcPr>
          <w:p w14:paraId="7AC62961" w14:textId="443C4610" w:rsidR="00D86258" w:rsidRPr="0028115A" w:rsidRDefault="007C24D7">
            <w:pPr>
              <w:spacing w:after="120"/>
              <w:rPr>
                <w:rFonts w:ascii="Source Sans Pro" w:hAnsi="Source Sans Pro"/>
                <w:sz w:val="20"/>
                <w:szCs w:val="20"/>
                <w:lang w:val="en-US"/>
              </w:rPr>
            </w:pPr>
            <w:r>
              <w:rPr>
                <w:rFonts w:ascii="Source Sans Pro" w:hAnsi="Source Sans Pro"/>
                <w:sz w:val="20"/>
                <w:szCs w:val="20"/>
                <w:lang w:val="en-US"/>
              </w:rPr>
              <w:t>Approved by the Governing Board at its</w:t>
            </w:r>
            <w:r w:rsidR="0028115A">
              <w:rPr>
                <w:rFonts w:ascii="Source Sans Pro" w:hAnsi="Source Sans Pro"/>
                <w:sz w:val="20"/>
                <w:szCs w:val="20"/>
                <w:lang w:val="en-US"/>
              </w:rPr>
              <w:t xml:space="preserve"> 12</w:t>
            </w:r>
            <w:r w:rsidR="000C13C3" w:rsidRPr="000C13C3">
              <w:rPr>
                <w:rFonts w:ascii="Source Sans Pro" w:hAnsi="Source Sans Pro"/>
                <w:sz w:val="20"/>
                <w:szCs w:val="20"/>
                <w:vertAlign w:val="superscript"/>
                <w:lang w:val="en-US"/>
              </w:rPr>
              <w:t>th</w:t>
            </w:r>
            <w:r w:rsidR="000C13C3">
              <w:rPr>
                <w:rFonts w:ascii="Source Sans Pro" w:hAnsi="Source Sans Pro"/>
                <w:sz w:val="20"/>
                <w:szCs w:val="20"/>
                <w:lang w:val="en-US"/>
              </w:rPr>
              <w:t xml:space="preserve"> </w:t>
            </w:r>
            <w:r w:rsidR="0028115A">
              <w:rPr>
                <w:rFonts w:ascii="Source Sans Pro" w:hAnsi="Source Sans Pro"/>
                <w:sz w:val="20"/>
                <w:szCs w:val="20"/>
                <w:lang w:val="en-US"/>
              </w:rPr>
              <w:t xml:space="preserve">December 2019 teleconference </w:t>
            </w:r>
          </w:p>
        </w:tc>
      </w:tr>
      <w:tr w:rsidR="00D86258" w:rsidRPr="0028115A" w14:paraId="6A14F541" w14:textId="77777777" w:rsidTr="0028115A">
        <w:trPr>
          <w:trHeight w:val="420"/>
        </w:trPr>
        <w:tc>
          <w:tcPr>
            <w:tcW w:w="4531" w:type="dxa"/>
            <w:hideMark/>
          </w:tcPr>
          <w:p w14:paraId="5183CB7D" w14:textId="77777777" w:rsidR="00D86258" w:rsidRPr="0028115A" w:rsidRDefault="00D86258">
            <w:pPr>
              <w:spacing w:after="120"/>
              <w:rPr>
                <w:rFonts w:ascii="Source Sans Pro" w:hAnsi="Source Sans Pro"/>
                <w:b/>
                <w:sz w:val="20"/>
                <w:szCs w:val="20"/>
                <w:lang w:val="en-US"/>
              </w:rPr>
            </w:pPr>
            <w:r w:rsidRPr="0028115A">
              <w:rPr>
                <w:rFonts w:ascii="Source Sans Pro" w:hAnsi="Source Sans Pro"/>
                <w:b/>
                <w:sz w:val="20"/>
                <w:szCs w:val="20"/>
                <w:lang w:val="en-US"/>
              </w:rPr>
              <w:t>For your:</w:t>
            </w:r>
          </w:p>
        </w:tc>
        <w:tc>
          <w:tcPr>
            <w:tcW w:w="9923" w:type="dxa"/>
            <w:hideMark/>
          </w:tcPr>
          <w:p w14:paraId="482261F6" w14:textId="35498813" w:rsidR="00D86258" w:rsidRPr="0028115A" w:rsidRDefault="00D86258">
            <w:pPr>
              <w:spacing w:after="120"/>
              <w:rPr>
                <w:rFonts w:ascii="Source Sans Pro" w:hAnsi="Source Sans Pro"/>
                <w:sz w:val="20"/>
                <w:szCs w:val="20"/>
                <w:lang w:val="en-US"/>
              </w:rPr>
            </w:pPr>
            <w:r w:rsidRPr="0028115A">
              <w:rPr>
                <w:rFonts w:ascii="Source Sans Pro" w:hAnsi="Source Sans Pro"/>
                <w:sz w:val="20"/>
                <w:szCs w:val="20"/>
                <w:lang w:val="en-US"/>
              </w:rPr>
              <w:t xml:space="preserve">Decision </w:t>
            </w:r>
          </w:p>
        </w:tc>
      </w:tr>
      <w:tr w:rsidR="0028115A" w:rsidRPr="0028115A" w14:paraId="1046331F" w14:textId="77777777" w:rsidTr="0028115A">
        <w:trPr>
          <w:trHeight w:val="420"/>
        </w:trPr>
        <w:tc>
          <w:tcPr>
            <w:tcW w:w="4531" w:type="dxa"/>
          </w:tcPr>
          <w:p w14:paraId="180BBADB" w14:textId="4B9EA70D" w:rsidR="0028115A" w:rsidRPr="0028115A" w:rsidRDefault="0028115A">
            <w:pPr>
              <w:spacing w:after="120"/>
              <w:rPr>
                <w:rFonts w:ascii="Source Sans Pro" w:hAnsi="Source Sans Pro"/>
                <w:b/>
                <w:sz w:val="20"/>
                <w:szCs w:val="20"/>
                <w:lang w:val="en-US"/>
              </w:rPr>
            </w:pPr>
            <w:r>
              <w:rPr>
                <w:rFonts w:ascii="Source Sans Pro" w:hAnsi="Source Sans Pro"/>
                <w:b/>
                <w:sz w:val="20"/>
                <w:szCs w:val="20"/>
                <w:lang w:val="en-US"/>
              </w:rPr>
              <w:t xml:space="preserve">Access level: </w:t>
            </w:r>
          </w:p>
        </w:tc>
        <w:tc>
          <w:tcPr>
            <w:tcW w:w="9923" w:type="dxa"/>
          </w:tcPr>
          <w:p w14:paraId="150C347C" w14:textId="440DB61E" w:rsidR="0028115A" w:rsidRPr="0028115A" w:rsidRDefault="0028115A">
            <w:pPr>
              <w:spacing w:after="120"/>
              <w:rPr>
                <w:rFonts w:ascii="Source Sans Pro" w:hAnsi="Source Sans Pro"/>
                <w:sz w:val="20"/>
                <w:szCs w:val="20"/>
                <w:lang w:val="en-US"/>
              </w:rPr>
            </w:pPr>
            <w:r>
              <w:rPr>
                <w:rFonts w:ascii="Source Sans Pro" w:hAnsi="Source Sans Pro"/>
                <w:sz w:val="20"/>
                <w:szCs w:val="20"/>
                <w:lang w:val="en-US"/>
              </w:rPr>
              <w:t>Open access</w:t>
            </w:r>
          </w:p>
        </w:tc>
      </w:tr>
    </w:tbl>
    <w:p w14:paraId="32B6D8A8" w14:textId="77777777" w:rsidR="002A5974" w:rsidRDefault="002A5974" w:rsidP="00581324">
      <w:pPr>
        <w:pStyle w:val="BodyText"/>
      </w:pPr>
    </w:p>
    <w:p w14:paraId="114F20B1" w14:textId="77777777" w:rsidR="002A5974" w:rsidRDefault="002A5974" w:rsidP="00581324">
      <w:pPr>
        <w:pStyle w:val="BodyText"/>
      </w:pPr>
    </w:p>
    <w:p w14:paraId="1456A1B4" w14:textId="03BD9A94" w:rsidR="00581324" w:rsidRPr="00310499" w:rsidRDefault="00581324" w:rsidP="00581324">
      <w:pPr>
        <w:pStyle w:val="BodyText"/>
        <w:rPr>
          <w:sz w:val="22"/>
        </w:rPr>
      </w:pPr>
      <w:r w:rsidRPr="00310499">
        <w:rPr>
          <w:sz w:val="22"/>
        </w:rPr>
        <w:t xml:space="preserve">This document presents </w:t>
      </w:r>
      <w:r w:rsidR="007C24D7">
        <w:rPr>
          <w:sz w:val="22"/>
        </w:rPr>
        <w:t xml:space="preserve">the </w:t>
      </w:r>
      <w:r w:rsidR="009F6247" w:rsidRPr="00310499">
        <w:rPr>
          <w:sz w:val="22"/>
        </w:rPr>
        <w:t>five</w:t>
      </w:r>
      <w:r w:rsidRPr="00310499">
        <w:rPr>
          <w:sz w:val="22"/>
        </w:rPr>
        <w:t xml:space="preserve"> </w:t>
      </w:r>
      <w:bookmarkStart w:id="0" w:name="_GoBack"/>
      <w:bookmarkEnd w:id="0"/>
      <w:r w:rsidRPr="00310499">
        <w:rPr>
          <w:sz w:val="22"/>
        </w:rPr>
        <w:t>organizational Targets for 2020</w:t>
      </w:r>
      <w:r w:rsidR="002A5974" w:rsidRPr="00310499">
        <w:rPr>
          <w:sz w:val="22"/>
        </w:rPr>
        <w:t xml:space="preserve"> in a format consistent with the previous years of the </w:t>
      </w:r>
      <w:r w:rsidR="002A5974" w:rsidRPr="00310499">
        <w:rPr>
          <w:i/>
          <w:sz w:val="22"/>
        </w:rPr>
        <w:t>Strategy to 2020</w:t>
      </w:r>
      <w:r w:rsidR="002A5974" w:rsidRPr="00310499">
        <w:rPr>
          <w:sz w:val="22"/>
        </w:rPr>
        <w:t xml:space="preserve">. The Senior Management Team recognises the format and processes for development of strategic priorities from 2021, under a new strategic framework, will be different. These Targets represent the main organization-wide priorities in this transition year between strategic plans. </w:t>
      </w:r>
    </w:p>
    <w:p w14:paraId="38738E3B" w14:textId="77777777" w:rsidR="00646336" w:rsidRPr="00310499" w:rsidRDefault="00646336" w:rsidP="00310499">
      <w:pPr>
        <w:pStyle w:val="BodyText"/>
        <w:ind w:right="96"/>
        <w:jc w:val="both"/>
        <w:rPr>
          <w:sz w:val="22"/>
        </w:rPr>
      </w:pPr>
    </w:p>
    <w:p w14:paraId="4424507D" w14:textId="77777777" w:rsidR="008479F3" w:rsidRPr="00310499" w:rsidRDefault="008479F3" w:rsidP="00310499">
      <w:pPr>
        <w:pStyle w:val="LongSubtitle"/>
        <w:spacing w:line="240" w:lineRule="auto"/>
        <w:rPr>
          <w:sz w:val="22"/>
          <w:szCs w:val="22"/>
          <w:lang w:val="en-US"/>
        </w:rPr>
      </w:pPr>
      <w:r w:rsidRPr="00310499">
        <w:rPr>
          <w:sz w:val="22"/>
          <w:szCs w:val="22"/>
          <w:lang w:val="en-US"/>
        </w:rPr>
        <w:t>Structure of the</w:t>
      </w:r>
      <w:r w:rsidRPr="00310499">
        <w:rPr>
          <w:i/>
          <w:sz w:val="22"/>
          <w:szCs w:val="22"/>
          <w:lang w:val="en-US"/>
        </w:rPr>
        <w:t xml:space="preserve"> Strategy to 2020</w:t>
      </w:r>
      <w:r w:rsidRPr="00310499">
        <w:rPr>
          <w:sz w:val="22"/>
          <w:szCs w:val="22"/>
          <w:lang w:val="en-US"/>
        </w:rPr>
        <w:t xml:space="preserve">: </w:t>
      </w:r>
    </w:p>
    <w:p w14:paraId="4030AA32" w14:textId="77777777" w:rsidR="008467FA" w:rsidRPr="00310499" w:rsidRDefault="008467FA" w:rsidP="008467FA">
      <w:pPr>
        <w:pStyle w:val="BodyText"/>
        <w:spacing w:before="53"/>
        <w:ind w:right="98"/>
        <w:jc w:val="both"/>
        <w:rPr>
          <w:b/>
          <w:bCs/>
          <w:sz w:val="22"/>
          <w:lang w:val="en-US"/>
        </w:rPr>
      </w:pPr>
      <w:r w:rsidRPr="00310499">
        <w:rPr>
          <w:iCs/>
          <w:sz w:val="22"/>
          <w:lang w:val="en-US"/>
        </w:rPr>
        <w:t xml:space="preserve">There are various ways in which strategic plans can be structured; and planning structures and terminology are used differently by different organizations. </w:t>
      </w:r>
      <w:r w:rsidRPr="00310499">
        <w:rPr>
          <w:bCs/>
          <w:sz w:val="22"/>
          <w:lang w:val="en-US"/>
        </w:rPr>
        <w:t>Cochrane’s</w:t>
      </w:r>
      <w:r w:rsidRPr="00310499">
        <w:rPr>
          <w:bCs/>
          <w:i/>
          <w:sz w:val="22"/>
          <w:lang w:val="en-US"/>
        </w:rPr>
        <w:t xml:space="preserve"> Strategy</w:t>
      </w:r>
      <w:r w:rsidRPr="00310499">
        <w:rPr>
          <w:bCs/>
          <w:sz w:val="22"/>
          <w:lang w:val="en-US"/>
        </w:rPr>
        <w:t xml:space="preserve"> </w:t>
      </w:r>
      <w:r w:rsidRPr="00310499">
        <w:rPr>
          <w:bCs/>
          <w:i/>
          <w:sz w:val="22"/>
          <w:lang w:val="en-US"/>
        </w:rPr>
        <w:t>to 2020</w:t>
      </w:r>
      <w:r w:rsidRPr="00310499">
        <w:rPr>
          <w:bCs/>
          <w:sz w:val="22"/>
          <w:lang w:val="en-US"/>
        </w:rPr>
        <w:t xml:space="preserve"> has been developed with the following structure: </w:t>
      </w:r>
    </w:p>
    <w:p w14:paraId="25FE1163" w14:textId="77777777" w:rsidR="008479F3" w:rsidRPr="00310499" w:rsidRDefault="008479F3" w:rsidP="000C13C3">
      <w:pPr>
        <w:pStyle w:val="BodyText"/>
        <w:spacing w:line="120" w:lineRule="auto"/>
        <w:ind w:right="96"/>
        <w:jc w:val="both"/>
        <w:rPr>
          <w:b/>
          <w:bCs/>
          <w:sz w:val="22"/>
          <w:lang w:val="en-US"/>
        </w:rPr>
      </w:pPr>
    </w:p>
    <w:p w14:paraId="1EEDD8E9" w14:textId="77777777" w:rsidR="008467FA" w:rsidRPr="00310499" w:rsidRDefault="008467FA" w:rsidP="008467FA">
      <w:pPr>
        <w:pStyle w:val="BodyText"/>
        <w:spacing w:before="53"/>
        <w:ind w:right="98"/>
        <w:jc w:val="both"/>
        <w:rPr>
          <w:bCs/>
          <w:sz w:val="22"/>
          <w:lang w:val="en-US"/>
        </w:rPr>
      </w:pPr>
      <w:r w:rsidRPr="00310499">
        <w:rPr>
          <w:b/>
          <w:bCs/>
          <w:sz w:val="22"/>
          <w:lang w:val="en-US"/>
        </w:rPr>
        <w:t>Vision &gt; Mission &gt; Goals &gt; Objectives &gt; Targets &gt; Workplans</w:t>
      </w:r>
      <w:r w:rsidRPr="00310499">
        <w:rPr>
          <w:bCs/>
          <w:sz w:val="22"/>
          <w:lang w:val="en-US"/>
        </w:rPr>
        <w:t>:</w:t>
      </w:r>
    </w:p>
    <w:p w14:paraId="25A7233C" w14:textId="77777777" w:rsidR="008467FA" w:rsidRPr="00310499" w:rsidRDefault="008467FA" w:rsidP="00310499">
      <w:pPr>
        <w:pStyle w:val="BodyText"/>
        <w:spacing w:line="120" w:lineRule="auto"/>
        <w:ind w:right="96"/>
        <w:jc w:val="both"/>
        <w:rPr>
          <w:bCs/>
          <w:sz w:val="22"/>
        </w:rPr>
      </w:pPr>
    </w:p>
    <w:p w14:paraId="17FF7E4E" w14:textId="77777777" w:rsidR="008467FA" w:rsidRPr="00310499" w:rsidRDefault="008467FA" w:rsidP="008422C7">
      <w:pPr>
        <w:pStyle w:val="BodyText"/>
        <w:numPr>
          <w:ilvl w:val="0"/>
          <w:numId w:val="1"/>
        </w:numPr>
        <w:spacing w:before="53"/>
        <w:ind w:right="98"/>
        <w:jc w:val="both"/>
        <w:rPr>
          <w:bCs/>
          <w:sz w:val="22"/>
          <w:lang w:val="en-US"/>
        </w:rPr>
      </w:pPr>
      <w:r w:rsidRPr="00310499">
        <w:rPr>
          <w:b/>
          <w:bCs/>
          <w:sz w:val="22"/>
          <w:lang w:val="en-US"/>
        </w:rPr>
        <w:t>Vision:</w:t>
      </w:r>
      <w:r w:rsidRPr="00310499">
        <w:rPr>
          <w:bCs/>
          <w:sz w:val="22"/>
          <w:lang w:val="en-US"/>
        </w:rPr>
        <w:t xml:space="preserve"> Outlines what the organisation wants the world in which it operates to be.</w:t>
      </w:r>
    </w:p>
    <w:p w14:paraId="3F9D3114" w14:textId="77777777" w:rsidR="008467FA" w:rsidRPr="00310499" w:rsidRDefault="008467FA" w:rsidP="008422C7">
      <w:pPr>
        <w:pStyle w:val="BodyText"/>
        <w:numPr>
          <w:ilvl w:val="0"/>
          <w:numId w:val="1"/>
        </w:numPr>
        <w:spacing w:before="53"/>
        <w:ind w:right="98"/>
        <w:jc w:val="both"/>
        <w:rPr>
          <w:bCs/>
          <w:sz w:val="22"/>
          <w:lang w:val="en-US"/>
        </w:rPr>
      </w:pPr>
      <w:r w:rsidRPr="00310499">
        <w:rPr>
          <w:b/>
          <w:bCs/>
          <w:sz w:val="22"/>
          <w:lang w:val="en-US"/>
        </w:rPr>
        <w:lastRenderedPageBreak/>
        <w:t>Mission:</w:t>
      </w:r>
      <w:r w:rsidRPr="00310499">
        <w:rPr>
          <w:bCs/>
          <w:sz w:val="22"/>
          <w:lang w:val="en-US"/>
        </w:rPr>
        <w:t xml:space="preserve"> Defines the fundamental purpose of the organisation, describing why it exists and what it does to achieve its vision</w:t>
      </w:r>
      <w:r w:rsidRPr="00310499">
        <w:rPr>
          <w:sz w:val="22"/>
          <w:lang w:val="en-US"/>
        </w:rPr>
        <w:t>.</w:t>
      </w:r>
      <w:r w:rsidRPr="00310499">
        <w:rPr>
          <w:bCs/>
          <w:sz w:val="22"/>
          <w:lang w:val="en-US"/>
        </w:rPr>
        <w:t xml:space="preserve"> </w:t>
      </w:r>
    </w:p>
    <w:p w14:paraId="0C70B5B1" w14:textId="77777777" w:rsidR="008467FA" w:rsidRPr="00310499" w:rsidRDefault="008467FA" w:rsidP="008422C7">
      <w:pPr>
        <w:pStyle w:val="BodyText"/>
        <w:numPr>
          <w:ilvl w:val="0"/>
          <w:numId w:val="1"/>
        </w:numPr>
        <w:spacing w:before="53"/>
        <w:ind w:right="98"/>
        <w:jc w:val="both"/>
        <w:rPr>
          <w:bCs/>
          <w:sz w:val="22"/>
          <w:lang w:val="en-US"/>
        </w:rPr>
      </w:pPr>
      <w:r w:rsidRPr="00310499">
        <w:rPr>
          <w:b/>
          <w:bCs/>
          <w:sz w:val="22"/>
          <w:lang w:val="en-US"/>
        </w:rPr>
        <w:t>Goals:</w:t>
      </w:r>
      <w:r w:rsidRPr="00310499">
        <w:rPr>
          <w:bCs/>
          <w:sz w:val="22"/>
          <w:lang w:val="en-US"/>
        </w:rPr>
        <w:t xml:space="preserve"> Establish the desired endpoints for achieving the mission. </w:t>
      </w:r>
    </w:p>
    <w:p w14:paraId="5AF71094" w14:textId="77777777" w:rsidR="008467FA" w:rsidRPr="00310499" w:rsidRDefault="008467FA" w:rsidP="008422C7">
      <w:pPr>
        <w:pStyle w:val="BodyText"/>
        <w:numPr>
          <w:ilvl w:val="0"/>
          <w:numId w:val="1"/>
        </w:numPr>
        <w:spacing w:before="53"/>
        <w:ind w:right="98"/>
        <w:jc w:val="both"/>
        <w:rPr>
          <w:sz w:val="22"/>
          <w:lang w:val="en-US"/>
        </w:rPr>
      </w:pPr>
      <w:r w:rsidRPr="00310499">
        <w:rPr>
          <w:b/>
          <w:sz w:val="22"/>
          <w:lang w:val="en-US"/>
        </w:rPr>
        <w:t>Objectives</w:t>
      </w:r>
      <w:r w:rsidRPr="00310499">
        <w:rPr>
          <w:sz w:val="22"/>
          <w:lang w:val="en-US"/>
        </w:rPr>
        <w:t>: Describe the ways in which goals will be operationalized and achieved.</w:t>
      </w:r>
    </w:p>
    <w:p w14:paraId="5343F055" w14:textId="77777777" w:rsidR="008467FA" w:rsidRPr="00310499" w:rsidRDefault="008467FA" w:rsidP="008422C7">
      <w:pPr>
        <w:pStyle w:val="BodyText"/>
        <w:numPr>
          <w:ilvl w:val="0"/>
          <w:numId w:val="1"/>
        </w:numPr>
        <w:shd w:val="clear" w:color="auto" w:fill="D9D9D9" w:themeFill="background1" w:themeFillShade="D9"/>
        <w:spacing w:before="53"/>
        <w:ind w:right="98"/>
        <w:jc w:val="both"/>
        <w:rPr>
          <w:sz w:val="22"/>
          <w:lang w:val="en-US"/>
        </w:rPr>
      </w:pPr>
      <w:r w:rsidRPr="00310499">
        <w:rPr>
          <w:b/>
          <w:sz w:val="22"/>
          <w:lang w:val="en-US"/>
        </w:rPr>
        <w:t>Targets</w:t>
      </w:r>
      <w:r w:rsidRPr="00310499">
        <w:rPr>
          <w:sz w:val="22"/>
          <w:lang w:val="en-US"/>
        </w:rPr>
        <w:t xml:space="preserve">: Represent the tangible stepping stones on the path towards the achievement of an objective. </w:t>
      </w:r>
      <w:r w:rsidRPr="00310499">
        <w:rPr>
          <w:bCs/>
          <w:sz w:val="22"/>
          <w:lang w:val="en-US"/>
        </w:rPr>
        <w:t>An objective may have one or many targets that must be fulfilled to achieve it</w:t>
      </w:r>
      <w:r w:rsidRPr="00310499">
        <w:rPr>
          <w:sz w:val="22"/>
          <w:lang w:val="en-US"/>
        </w:rPr>
        <w:t xml:space="preserve">. </w:t>
      </w:r>
    </w:p>
    <w:p w14:paraId="7067BC4D" w14:textId="77777777" w:rsidR="008467FA" w:rsidRPr="00310499" w:rsidRDefault="008467FA" w:rsidP="008422C7">
      <w:pPr>
        <w:pStyle w:val="BodyText"/>
        <w:numPr>
          <w:ilvl w:val="0"/>
          <w:numId w:val="1"/>
        </w:numPr>
        <w:spacing w:before="53"/>
        <w:ind w:right="98"/>
        <w:jc w:val="both"/>
        <w:rPr>
          <w:sz w:val="22"/>
          <w:lang w:val="en-US"/>
        </w:rPr>
      </w:pPr>
      <w:r w:rsidRPr="00310499">
        <w:rPr>
          <w:b/>
          <w:sz w:val="22"/>
          <w:lang w:val="en-US"/>
        </w:rPr>
        <w:t>Workplans</w:t>
      </w:r>
      <w:r w:rsidRPr="00310499">
        <w:rPr>
          <w:sz w:val="22"/>
          <w:lang w:val="en-US"/>
        </w:rPr>
        <w:t xml:space="preserve">: Set out how the targets will be achieved. </w:t>
      </w:r>
    </w:p>
    <w:p w14:paraId="070F9356" w14:textId="77777777" w:rsidR="001C666C" w:rsidRDefault="001C666C" w:rsidP="000C13C3">
      <w:pPr>
        <w:pStyle w:val="BodyText"/>
        <w:ind w:right="98"/>
        <w:jc w:val="both"/>
      </w:pPr>
    </w:p>
    <w:p w14:paraId="007D24C2" w14:textId="77777777" w:rsidR="009F6247" w:rsidRPr="000C13C3" w:rsidRDefault="009F6247" w:rsidP="000C13C3">
      <w:pPr>
        <w:pStyle w:val="SectionSub-Title"/>
        <w:spacing w:after="0" w:line="240" w:lineRule="auto"/>
        <w:rPr>
          <w:sz w:val="20"/>
          <w:szCs w:val="20"/>
        </w:rPr>
      </w:pPr>
    </w:p>
    <w:p w14:paraId="6F95445A" w14:textId="186E6658" w:rsidR="004D5935" w:rsidRPr="00310499" w:rsidRDefault="009F6247" w:rsidP="009F6247">
      <w:pPr>
        <w:pStyle w:val="SectionSub-Title"/>
        <w:rPr>
          <w:b/>
          <w:bCs/>
        </w:rPr>
      </w:pPr>
      <w:r w:rsidRPr="00310499">
        <w:rPr>
          <w:b/>
          <w:bCs/>
        </w:rPr>
        <w:t xml:space="preserve">Proposed organizational Targets for 2020: </w:t>
      </w:r>
    </w:p>
    <w:tbl>
      <w:tblPr>
        <w:tblStyle w:val="TableGrid"/>
        <w:tblW w:w="14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59"/>
      </w:tblGrid>
      <w:tr w:rsidR="00C4076F" w:rsidRPr="00C4076F" w14:paraId="4D92E61F" w14:textId="77777777" w:rsidTr="00FD2148">
        <w:tc>
          <w:tcPr>
            <w:tcW w:w="14459" w:type="dxa"/>
            <w:shd w:val="clear" w:color="auto" w:fill="F0CEEE" w:themeFill="accent2" w:themeFillTint="33"/>
          </w:tcPr>
          <w:p w14:paraId="4D95F866" w14:textId="77777777" w:rsidR="00C4076F" w:rsidRDefault="00C4076F" w:rsidP="00C4076F">
            <w:pPr>
              <w:jc w:val="both"/>
              <w:rPr>
                <w:rFonts w:asciiTheme="majorHAnsi" w:hAnsiTheme="majorHAnsi"/>
                <w:b/>
                <w:color w:val="002060"/>
              </w:rPr>
            </w:pPr>
          </w:p>
          <w:p w14:paraId="0D674370" w14:textId="77777777" w:rsidR="00C4076F" w:rsidRPr="00C4076F" w:rsidRDefault="00C4076F" w:rsidP="00C4076F">
            <w:pPr>
              <w:jc w:val="both"/>
              <w:rPr>
                <w:rFonts w:asciiTheme="majorHAnsi" w:hAnsiTheme="majorHAnsi"/>
                <w:b/>
                <w:color w:val="002060"/>
                <w:sz w:val="36"/>
                <w:szCs w:val="36"/>
              </w:rPr>
            </w:pPr>
            <w:r w:rsidRPr="00C4076F">
              <w:rPr>
                <w:rFonts w:asciiTheme="majorHAnsi" w:hAnsiTheme="majorHAnsi"/>
                <w:b/>
                <w:color w:val="002060"/>
                <w:sz w:val="36"/>
                <w:szCs w:val="36"/>
              </w:rPr>
              <w:t>GOAL 1:  PRODUCING EVIDENCE</w:t>
            </w:r>
          </w:p>
        </w:tc>
      </w:tr>
      <w:tr w:rsidR="00C4076F" w:rsidRPr="00C4076F" w14:paraId="550D6EB8" w14:textId="77777777" w:rsidTr="00FD2148">
        <w:tc>
          <w:tcPr>
            <w:tcW w:w="14459" w:type="dxa"/>
            <w:shd w:val="clear" w:color="auto" w:fill="F0CEEE" w:themeFill="accent2" w:themeFillTint="33"/>
          </w:tcPr>
          <w:p w14:paraId="17930337" w14:textId="77777777" w:rsidR="00C4076F" w:rsidRPr="00205548" w:rsidRDefault="00C4076F" w:rsidP="00C4076F">
            <w:pPr>
              <w:jc w:val="both"/>
              <w:rPr>
                <w:rFonts w:asciiTheme="majorHAnsi" w:hAnsiTheme="majorHAnsi"/>
                <w:b/>
                <w:color w:val="002060"/>
                <w:sz w:val="28"/>
                <w:szCs w:val="28"/>
              </w:rPr>
            </w:pPr>
            <w:r w:rsidRPr="00205548">
              <w:rPr>
                <w:rFonts w:asciiTheme="majorHAnsi" w:hAnsiTheme="majorHAnsi"/>
                <w:b/>
                <w:color w:val="002060"/>
                <w:sz w:val="28"/>
                <w:szCs w:val="28"/>
              </w:rPr>
              <w:t>To produce high-quality, relevant, up-to-date systematic reviews and other synthesized research evidence to inform health decision-making.</w:t>
            </w:r>
          </w:p>
          <w:p w14:paraId="7DEF012F" w14:textId="77777777" w:rsidR="00C4076F" w:rsidRPr="00C4076F" w:rsidRDefault="00C4076F" w:rsidP="00C4076F">
            <w:pPr>
              <w:jc w:val="both"/>
              <w:rPr>
                <w:rFonts w:asciiTheme="majorHAnsi" w:hAnsiTheme="majorHAnsi"/>
              </w:rPr>
            </w:pPr>
          </w:p>
        </w:tc>
      </w:tr>
      <w:tr w:rsidR="00C4076F" w:rsidRPr="00C4076F" w14:paraId="3EFB4A17" w14:textId="77777777" w:rsidTr="00FD2148">
        <w:tc>
          <w:tcPr>
            <w:tcW w:w="14459" w:type="dxa"/>
          </w:tcPr>
          <w:p w14:paraId="7F5D726A" w14:textId="77777777" w:rsidR="00C4076F" w:rsidRPr="00C4076F" w:rsidRDefault="00C4076F" w:rsidP="000C13C3">
            <w:pPr>
              <w:spacing w:line="120" w:lineRule="auto"/>
              <w:jc w:val="both"/>
              <w:rPr>
                <w:rFonts w:asciiTheme="majorHAnsi" w:hAnsiTheme="majorHAnsi"/>
              </w:rPr>
            </w:pPr>
          </w:p>
        </w:tc>
      </w:tr>
    </w:tbl>
    <w:p w14:paraId="2C4F99B9" w14:textId="77777777" w:rsidR="00303330" w:rsidRPr="00EE5AED" w:rsidRDefault="00303330" w:rsidP="000C13C3">
      <w:pPr>
        <w:pStyle w:val="TableParagraph"/>
        <w:tabs>
          <w:tab w:val="left" w:pos="829"/>
        </w:tabs>
        <w:spacing w:line="120" w:lineRule="auto"/>
        <w:ind w:left="0" w:right="879"/>
      </w:pPr>
    </w:p>
    <w:tbl>
      <w:tblPr>
        <w:tblStyle w:val="TableGridLight1"/>
        <w:tblW w:w="14454" w:type="dxa"/>
        <w:tblLook w:val="04A0" w:firstRow="1" w:lastRow="0" w:firstColumn="1" w:lastColumn="0" w:noHBand="0" w:noVBand="1"/>
      </w:tblPr>
      <w:tblGrid>
        <w:gridCol w:w="4815"/>
        <w:gridCol w:w="9639"/>
      </w:tblGrid>
      <w:tr w:rsidR="00104E65" w14:paraId="27B4C417" w14:textId="77777777" w:rsidTr="004D5935">
        <w:tc>
          <w:tcPr>
            <w:tcW w:w="14454" w:type="dxa"/>
            <w:gridSpan w:val="2"/>
          </w:tcPr>
          <w:p w14:paraId="638F4DCD" w14:textId="77777777" w:rsidR="00BC4FE7" w:rsidRDefault="00104E65" w:rsidP="00104E65">
            <w:pPr>
              <w:pStyle w:val="LongSubtitle"/>
              <w:rPr>
                <w:b/>
                <w:bCs/>
              </w:rPr>
            </w:pPr>
            <w:r w:rsidRPr="00BC4FE7">
              <w:rPr>
                <w:b/>
                <w:bCs/>
              </w:rPr>
              <w:t xml:space="preserve">TARGET 1: EDITORIAL AND PRODUCTION SYSTEMS PROGRAMME: </w:t>
            </w:r>
          </w:p>
          <w:p w14:paraId="3D991C8B" w14:textId="6C17AE86" w:rsidR="00104E65" w:rsidRPr="00BC4FE7" w:rsidRDefault="00104E65" w:rsidP="00104E65">
            <w:pPr>
              <w:pStyle w:val="LongSubtitle"/>
              <w:rPr>
                <w:b/>
                <w:bCs/>
              </w:rPr>
            </w:pPr>
            <w:r w:rsidRPr="00BC4FE7">
              <w:rPr>
                <w:b/>
                <w:bCs/>
              </w:rPr>
              <w:t>Provider selection, workflows and roles, and initial implementation phases</w:t>
            </w:r>
          </w:p>
          <w:p w14:paraId="7059577E" w14:textId="77777777" w:rsidR="000C13C3" w:rsidRDefault="000C13C3" w:rsidP="00104E65">
            <w:pPr>
              <w:pStyle w:val="BodyText"/>
              <w:rPr>
                <w:rFonts w:asciiTheme="minorHAnsi" w:hAnsiTheme="minorHAnsi"/>
                <w:color w:val="000000" w:themeColor="text1"/>
                <w:szCs w:val="20"/>
              </w:rPr>
            </w:pPr>
          </w:p>
          <w:p w14:paraId="35E8E81F" w14:textId="160C4901" w:rsidR="00104E65" w:rsidRPr="00310499" w:rsidRDefault="00104E65" w:rsidP="00104E65">
            <w:pPr>
              <w:pStyle w:val="BodyText"/>
              <w:rPr>
                <w:color w:val="000000" w:themeColor="text1"/>
                <w:sz w:val="22"/>
              </w:rPr>
            </w:pPr>
            <w:r w:rsidRPr="00310499">
              <w:rPr>
                <w:color w:val="000000" w:themeColor="text1"/>
                <w:sz w:val="22"/>
              </w:rPr>
              <w:t>In 2020, three of the five planned projects in a new, large-scale ‘Editorial and Production Systems Programme’ will be undertaken:</w:t>
            </w:r>
          </w:p>
          <w:p w14:paraId="431DCF1E" w14:textId="77777777" w:rsidR="00104E65" w:rsidRPr="00310499" w:rsidRDefault="00104E65" w:rsidP="000C13C3">
            <w:pPr>
              <w:pStyle w:val="BodyText"/>
              <w:spacing w:line="120" w:lineRule="auto"/>
              <w:rPr>
                <w:color w:val="000000" w:themeColor="text1"/>
                <w:sz w:val="22"/>
              </w:rPr>
            </w:pPr>
          </w:p>
          <w:p w14:paraId="699F9447" w14:textId="77777777" w:rsidR="00104E65" w:rsidRPr="00310499" w:rsidRDefault="00104E65" w:rsidP="000C13C3">
            <w:pPr>
              <w:pStyle w:val="BodyText"/>
              <w:spacing w:after="120"/>
              <w:rPr>
                <w:color w:val="000000" w:themeColor="text1"/>
                <w:sz w:val="22"/>
              </w:rPr>
            </w:pPr>
            <w:r w:rsidRPr="00310499">
              <w:rPr>
                <w:color w:val="000000" w:themeColor="text1"/>
                <w:sz w:val="22"/>
              </w:rPr>
              <w:t>Project 1 = Production system tender process (COMPLETED IN 2019)</w:t>
            </w:r>
          </w:p>
          <w:p w14:paraId="2A085497" w14:textId="21CD2DF7" w:rsidR="00104E65" w:rsidRPr="00310499" w:rsidRDefault="00104E65" w:rsidP="000C13C3">
            <w:pPr>
              <w:pStyle w:val="BodyText"/>
              <w:spacing w:after="120"/>
              <w:rPr>
                <w:color w:val="000000" w:themeColor="text1"/>
                <w:sz w:val="22"/>
              </w:rPr>
            </w:pPr>
            <w:r w:rsidRPr="00310499">
              <w:rPr>
                <w:color w:val="000000" w:themeColor="text1"/>
                <w:sz w:val="22"/>
              </w:rPr>
              <w:t>Project 2 = Editorial &amp; Management System (EMS) evaluation and tender process (COMPLETED IN 2019)</w:t>
            </w:r>
          </w:p>
          <w:p w14:paraId="1CA1F4CE" w14:textId="611F19AE" w:rsidR="00104E65" w:rsidRPr="00310499" w:rsidRDefault="00104E65" w:rsidP="000C13C3">
            <w:pPr>
              <w:pStyle w:val="BodyText"/>
              <w:shd w:val="clear" w:color="auto" w:fill="C3C3C3" w:themeFill="accent3" w:themeFillTint="66"/>
              <w:spacing w:after="120"/>
              <w:rPr>
                <w:color w:val="000000" w:themeColor="text1"/>
                <w:sz w:val="22"/>
              </w:rPr>
            </w:pPr>
            <w:r w:rsidRPr="00310499">
              <w:rPr>
                <w:color w:val="000000" w:themeColor="text1"/>
                <w:sz w:val="22"/>
              </w:rPr>
              <w:t xml:space="preserve">Project 3 = Provider selections for EMS and production systems  </w:t>
            </w:r>
          </w:p>
          <w:p w14:paraId="0C395569" w14:textId="2C8E4E4E" w:rsidR="00104E65" w:rsidRPr="00310499" w:rsidRDefault="00104E65" w:rsidP="000C13C3">
            <w:pPr>
              <w:pStyle w:val="BodyText"/>
              <w:shd w:val="clear" w:color="auto" w:fill="C3C3C3" w:themeFill="accent3" w:themeFillTint="66"/>
              <w:spacing w:after="120"/>
              <w:rPr>
                <w:color w:val="000000" w:themeColor="text1"/>
                <w:sz w:val="22"/>
              </w:rPr>
            </w:pPr>
            <w:r w:rsidRPr="00310499">
              <w:rPr>
                <w:color w:val="000000" w:themeColor="text1"/>
                <w:sz w:val="22"/>
              </w:rPr>
              <w:t>Project 4 = Full production workflow creation (EMS + Production + Delivery): defining roles, workflow work, content, translations and other elements</w:t>
            </w:r>
          </w:p>
          <w:p w14:paraId="0E8E5711" w14:textId="31F8378E" w:rsidR="00104E65" w:rsidRPr="00310499" w:rsidRDefault="00104E65" w:rsidP="00104E65">
            <w:pPr>
              <w:pStyle w:val="BodyText"/>
              <w:shd w:val="clear" w:color="auto" w:fill="C3C3C3" w:themeFill="accent3" w:themeFillTint="66"/>
              <w:rPr>
                <w:color w:val="000000" w:themeColor="text1"/>
                <w:sz w:val="22"/>
              </w:rPr>
            </w:pPr>
            <w:r w:rsidRPr="00310499">
              <w:rPr>
                <w:color w:val="000000" w:themeColor="text1"/>
                <w:sz w:val="22"/>
              </w:rPr>
              <w:t>Project 5 = Implementation of new systems (for both production system and EMS, staggered as appropriate into 2021)</w:t>
            </w:r>
          </w:p>
          <w:p w14:paraId="22AED1D6" w14:textId="4ACB5A9B" w:rsidR="00104E65" w:rsidRDefault="00104E65" w:rsidP="00310499">
            <w:pPr>
              <w:pStyle w:val="BodyText"/>
              <w:rPr>
                <w:b/>
                <w:color w:val="962D91"/>
                <w:sz w:val="28"/>
                <w:szCs w:val="28"/>
              </w:rPr>
            </w:pPr>
          </w:p>
        </w:tc>
      </w:tr>
      <w:tr w:rsidR="00BD0496" w14:paraId="728AA101" w14:textId="77777777" w:rsidTr="004D5935">
        <w:tc>
          <w:tcPr>
            <w:tcW w:w="4815" w:type="dxa"/>
            <w:shd w:val="clear" w:color="auto" w:fill="F0CEEE" w:themeFill="background2" w:themeFillTint="33"/>
          </w:tcPr>
          <w:p w14:paraId="0E2900FB" w14:textId="77777777" w:rsidR="00BD0496" w:rsidRPr="004D5935" w:rsidRDefault="00BD0496" w:rsidP="00BD0496">
            <w:pPr>
              <w:pStyle w:val="BodyText"/>
              <w:rPr>
                <w:rFonts w:asciiTheme="minorHAnsi" w:hAnsiTheme="minorHAnsi"/>
              </w:rPr>
            </w:pPr>
            <w:r w:rsidRPr="004D5935">
              <w:rPr>
                <w:rFonts w:asciiTheme="minorHAnsi" w:hAnsiTheme="minorHAnsi"/>
              </w:rPr>
              <w:t xml:space="preserve">Contributes to </w:t>
            </w:r>
            <w:r w:rsidRPr="004D5935">
              <w:rPr>
                <w:rFonts w:asciiTheme="minorHAnsi" w:hAnsiTheme="minorHAnsi"/>
                <w:i/>
              </w:rPr>
              <w:t>Strategy to 2020</w:t>
            </w:r>
            <w:r w:rsidRPr="004D5935">
              <w:rPr>
                <w:rFonts w:asciiTheme="minorHAnsi" w:hAnsiTheme="minorHAnsi"/>
              </w:rPr>
              <w:t xml:space="preserve"> Objective(s):</w:t>
            </w:r>
          </w:p>
          <w:p w14:paraId="0FA17F6A" w14:textId="77777777" w:rsidR="00BD0496" w:rsidRPr="004D5935" w:rsidRDefault="00BD0496" w:rsidP="00104E65">
            <w:pPr>
              <w:pStyle w:val="BodyText"/>
              <w:rPr>
                <w:rFonts w:asciiTheme="minorHAnsi" w:hAnsiTheme="minorHAnsi"/>
              </w:rPr>
            </w:pPr>
          </w:p>
        </w:tc>
        <w:tc>
          <w:tcPr>
            <w:tcW w:w="9639" w:type="dxa"/>
          </w:tcPr>
          <w:p w14:paraId="21EBC4D8" w14:textId="77777777" w:rsidR="00BD0496" w:rsidRPr="0033257F" w:rsidRDefault="00BD0496" w:rsidP="00BD0496">
            <w:pPr>
              <w:rPr>
                <w:rFonts w:asciiTheme="majorHAnsi" w:hAnsiTheme="majorHAnsi"/>
                <w:b/>
                <w:sz w:val="20"/>
              </w:rPr>
            </w:pPr>
            <w:r w:rsidRPr="0033257F">
              <w:rPr>
                <w:rFonts w:asciiTheme="majorHAnsi" w:hAnsiTheme="majorHAnsi"/>
                <w:b/>
                <w:sz w:val="20"/>
              </w:rPr>
              <w:t>1.6. EFFICIENT PRODUCTION</w:t>
            </w:r>
          </w:p>
          <w:p w14:paraId="41A1AD85" w14:textId="39679B07" w:rsidR="00BD0496" w:rsidRPr="000C13C3" w:rsidRDefault="00BD0496" w:rsidP="000C13C3">
            <w:pPr>
              <w:pStyle w:val="BodyText"/>
            </w:pPr>
            <w:r w:rsidRPr="006C0A39">
              <w:t>We will improve our technology and revise our processes to create more timely, consistent and efficient e</w:t>
            </w:r>
            <w:r>
              <w:t>ditorial and production systems.</w:t>
            </w:r>
          </w:p>
        </w:tc>
      </w:tr>
      <w:tr w:rsidR="00104E65" w14:paraId="68B83316" w14:textId="77777777" w:rsidTr="004D5935">
        <w:tc>
          <w:tcPr>
            <w:tcW w:w="4815" w:type="dxa"/>
            <w:shd w:val="clear" w:color="auto" w:fill="F0CEEE" w:themeFill="background2" w:themeFillTint="33"/>
          </w:tcPr>
          <w:p w14:paraId="36A979C4" w14:textId="36296AE2" w:rsidR="00104E65" w:rsidRPr="004D5935" w:rsidRDefault="00BD0496" w:rsidP="00BD0496">
            <w:pPr>
              <w:pStyle w:val="BodyText"/>
              <w:rPr>
                <w:rFonts w:asciiTheme="minorHAnsi" w:hAnsiTheme="minorHAnsi"/>
              </w:rPr>
            </w:pPr>
            <w:r>
              <w:rPr>
                <w:rFonts w:asciiTheme="minorHAnsi" w:hAnsiTheme="minorHAnsi"/>
              </w:rPr>
              <w:lastRenderedPageBreak/>
              <w:t>Background:</w:t>
            </w:r>
          </w:p>
        </w:tc>
        <w:tc>
          <w:tcPr>
            <w:tcW w:w="9639" w:type="dxa"/>
          </w:tcPr>
          <w:p w14:paraId="3E104091" w14:textId="5C7F24D9" w:rsidR="007C24D7" w:rsidRDefault="00104E65" w:rsidP="00104E65">
            <w:pPr>
              <w:rPr>
                <w:rFonts w:asciiTheme="majorHAnsi" w:hAnsiTheme="majorHAnsi" w:cs="Arial"/>
                <w:sz w:val="20"/>
                <w:szCs w:val="20"/>
              </w:rPr>
            </w:pPr>
            <w:r w:rsidRPr="008C3A41">
              <w:rPr>
                <w:rFonts w:asciiTheme="majorHAnsi" w:hAnsiTheme="majorHAnsi" w:cs="Arial"/>
                <w:sz w:val="20"/>
                <w:szCs w:val="20"/>
              </w:rPr>
              <w:t xml:space="preserve">Cochrane uses several </w:t>
            </w:r>
            <w:r w:rsidR="00124C05">
              <w:rPr>
                <w:rFonts w:asciiTheme="majorHAnsi" w:hAnsiTheme="majorHAnsi" w:cs="Arial"/>
                <w:sz w:val="20"/>
                <w:szCs w:val="20"/>
              </w:rPr>
              <w:t xml:space="preserve">editorial </w:t>
            </w:r>
            <w:r w:rsidRPr="008C3A41">
              <w:rPr>
                <w:rFonts w:asciiTheme="majorHAnsi" w:hAnsiTheme="majorHAnsi" w:cs="Arial"/>
                <w:sz w:val="20"/>
                <w:szCs w:val="20"/>
              </w:rPr>
              <w:t>management systems and processes to manage its conten</w:t>
            </w:r>
            <w:r>
              <w:rPr>
                <w:rFonts w:asciiTheme="majorHAnsi" w:hAnsiTheme="majorHAnsi" w:cs="Arial"/>
                <w:sz w:val="20"/>
                <w:szCs w:val="20"/>
              </w:rPr>
              <w:t xml:space="preserve">t. </w:t>
            </w:r>
            <w:r w:rsidRPr="008C3A41">
              <w:rPr>
                <w:rFonts w:asciiTheme="majorHAnsi" w:hAnsiTheme="majorHAnsi" w:cs="Arial"/>
                <w:sz w:val="20"/>
                <w:szCs w:val="20"/>
              </w:rPr>
              <w:t>Archie</w:t>
            </w:r>
            <w:r w:rsidR="00BD0496">
              <w:rPr>
                <w:rFonts w:asciiTheme="majorHAnsi" w:hAnsiTheme="majorHAnsi" w:cs="Arial"/>
                <w:sz w:val="20"/>
                <w:szCs w:val="20"/>
              </w:rPr>
              <w:t>, Cochrane’s bespoke content</w:t>
            </w:r>
            <w:r w:rsidR="00124C05">
              <w:rPr>
                <w:rFonts w:asciiTheme="majorHAnsi" w:hAnsiTheme="majorHAnsi" w:cs="Arial"/>
                <w:sz w:val="20"/>
                <w:szCs w:val="20"/>
              </w:rPr>
              <w:t xml:space="preserve"> and editorial</w:t>
            </w:r>
            <w:r w:rsidR="00BD0496">
              <w:rPr>
                <w:rFonts w:asciiTheme="majorHAnsi" w:hAnsiTheme="majorHAnsi" w:cs="Arial"/>
                <w:sz w:val="20"/>
                <w:szCs w:val="20"/>
              </w:rPr>
              <w:t xml:space="preserve"> management system (amongst other functions)</w:t>
            </w:r>
            <w:r w:rsidR="00124C05">
              <w:rPr>
                <w:rFonts w:asciiTheme="majorHAnsi" w:hAnsiTheme="majorHAnsi" w:cs="Arial"/>
                <w:sz w:val="20"/>
                <w:szCs w:val="20"/>
              </w:rPr>
              <w:t>,</w:t>
            </w:r>
            <w:r w:rsidRPr="008C3A41">
              <w:rPr>
                <w:rFonts w:asciiTheme="majorHAnsi" w:hAnsiTheme="majorHAnsi" w:cs="Arial"/>
                <w:sz w:val="20"/>
                <w:szCs w:val="20"/>
              </w:rPr>
              <w:t xml:space="preserve"> has not kept </w:t>
            </w:r>
            <w:r w:rsidR="00BD0496">
              <w:rPr>
                <w:rFonts w:asciiTheme="majorHAnsi" w:hAnsiTheme="majorHAnsi" w:cs="Arial"/>
                <w:sz w:val="20"/>
                <w:szCs w:val="20"/>
              </w:rPr>
              <w:t>pace</w:t>
            </w:r>
            <w:r w:rsidRPr="008C3A41">
              <w:rPr>
                <w:rFonts w:asciiTheme="majorHAnsi" w:hAnsiTheme="majorHAnsi" w:cs="Arial"/>
                <w:sz w:val="20"/>
                <w:szCs w:val="20"/>
              </w:rPr>
              <w:t xml:space="preserve"> with the </w:t>
            </w:r>
            <w:r w:rsidR="00BD0496">
              <w:rPr>
                <w:rFonts w:asciiTheme="majorHAnsi" w:hAnsiTheme="majorHAnsi" w:cs="Arial"/>
                <w:sz w:val="20"/>
                <w:szCs w:val="20"/>
              </w:rPr>
              <w:t>requirements</w:t>
            </w:r>
            <w:r w:rsidRPr="008C3A41">
              <w:rPr>
                <w:rFonts w:asciiTheme="majorHAnsi" w:hAnsiTheme="majorHAnsi" w:cs="Arial"/>
                <w:sz w:val="20"/>
                <w:szCs w:val="20"/>
              </w:rPr>
              <w:t xml:space="preserve"> of the editorial user base and has also fallen behind technologically</w:t>
            </w:r>
            <w:r w:rsidR="00BD0496">
              <w:rPr>
                <w:rFonts w:asciiTheme="majorHAnsi" w:hAnsiTheme="majorHAnsi" w:cs="Arial"/>
                <w:sz w:val="20"/>
                <w:szCs w:val="20"/>
              </w:rPr>
              <w:t>,</w:t>
            </w:r>
            <w:r w:rsidRPr="008C3A41">
              <w:rPr>
                <w:rFonts w:asciiTheme="majorHAnsi" w:hAnsiTheme="majorHAnsi" w:cs="Arial"/>
                <w:sz w:val="20"/>
                <w:szCs w:val="20"/>
              </w:rPr>
              <w:t xml:space="preserve"> raising concerns about maintainability, reliability and security.</w:t>
            </w:r>
            <w:r>
              <w:rPr>
                <w:rFonts w:asciiTheme="majorHAnsi" w:hAnsiTheme="majorHAnsi" w:cs="Arial"/>
                <w:sz w:val="20"/>
                <w:szCs w:val="20"/>
              </w:rPr>
              <w:t xml:space="preserve"> The production systems employed by</w:t>
            </w:r>
            <w:r w:rsidR="00BD0496">
              <w:rPr>
                <w:rFonts w:asciiTheme="majorHAnsi" w:hAnsiTheme="majorHAnsi" w:cs="Arial"/>
                <w:sz w:val="20"/>
                <w:szCs w:val="20"/>
              </w:rPr>
              <w:t xml:space="preserve"> the Library’s publisher,</w:t>
            </w:r>
            <w:r>
              <w:rPr>
                <w:rFonts w:asciiTheme="majorHAnsi" w:hAnsiTheme="majorHAnsi" w:cs="Arial"/>
                <w:sz w:val="20"/>
                <w:szCs w:val="20"/>
              </w:rPr>
              <w:t xml:space="preserve"> Wiley</w:t>
            </w:r>
            <w:r w:rsidR="00BD0496">
              <w:rPr>
                <w:rFonts w:asciiTheme="majorHAnsi" w:hAnsiTheme="majorHAnsi" w:cs="Arial"/>
                <w:sz w:val="20"/>
                <w:szCs w:val="20"/>
              </w:rPr>
              <w:t>,</w:t>
            </w:r>
            <w:r>
              <w:rPr>
                <w:rFonts w:asciiTheme="majorHAnsi" w:hAnsiTheme="majorHAnsi" w:cs="Arial"/>
                <w:sz w:val="20"/>
                <w:szCs w:val="20"/>
              </w:rPr>
              <w:t xml:space="preserve"> into which our content is fed have also fallen behind and are too complex. </w:t>
            </w:r>
            <w:r w:rsidR="007C24D7">
              <w:rPr>
                <w:rFonts w:asciiTheme="majorHAnsi" w:hAnsiTheme="majorHAnsi" w:cs="Arial"/>
                <w:sz w:val="20"/>
                <w:szCs w:val="20"/>
              </w:rPr>
              <w:t xml:space="preserve"> Improvements in this area are critical. </w:t>
            </w:r>
          </w:p>
          <w:p w14:paraId="733D16F4" w14:textId="77777777" w:rsidR="00104E65" w:rsidRDefault="00104E65" w:rsidP="00104E65">
            <w:pPr>
              <w:rPr>
                <w:rFonts w:asciiTheme="majorHAnsi" w:hAnsiTheme="majorHAnsi" w:cs="Arial"/>
                <w:sz w:val="20"/>
                <w:szCs w:val="20"/>
              </w:rPr>
            </w:pPr>
          </w:p>
          <w:p w14:paraId="16EC28D3" w14:textId="5B2D4C70" w:rsidR="00104E65" w:rsidRDefault="00BD0496" w:rsidP="00104E65">
            <w:pPr>
              <w:rPr>
                <w:rFonts w:asciiTheme="majorHAnsi" w:hAnsiTheme="majorHAnsi" w:cs="Arial"/>
                <w:sz w:val="20"/>
                <w:szCs w:val="20"/>
              </w:rPr>
            </w:pPr>
            <w:r>
              <w:rPr>
                <w:rFonts w:asciiTheme="majorHAnsi" w:hAnsiTheme="majorHAnsi" w:cs="Arial"/>
                <w:sz w:val="20"/>
                <w:szCs w:val="20"/>
              </w:rPr>
              <w:t xml:space="preserve">As a result, tender processes have been </w:t>
            </w:r>
            <w:r w:rsidR="00104E65">
              <w:rPr>
                <w:rFonts w:asciiTheme="majorHAnsi" w:hAnsiTheme="majorHAnsi" w:cs="Arial"/>
                <w:sz w:val="20"/>
                <w:szCs w:val="20"/>
              </w:rPr>
              <w:t>run in 2019 for both a new Editorial Management System (EMS) and a</w:t>
            </w:r>
            <w:r w:rsidR="000C13C3">
              <w:rPr>
                <w:rFonts w:asciiTheme="majorHAnsi" w:hAnsiTheme="majorHAnsi" w:cs="Arial"/>
                <w:sz w:val="20"/>
                <w:szCs w:val="20"/>
              </w:rPr>
              <w:t xml:space="preserve">n improved </w:t>
            </w:r>
            <w:r>
              <w:rPr>
                <w:rFonts w:asciiTheme="majorHAnsi" w:hAnsiTheme="majorHAnsi" w:cs="Arial"/>
                <w:sz w:val="20"/>
                <w:szCs w:val="20"/>
              </w:rPr>
              <w:t>p</w:t>
            </w:r>
            <w:r w:rsidR="00104E65">
              <w:rPr>
                <w:rFonts w:asciiTheme="majorHAnsi" w:hAnsiTheme="majorHAnsi" w:cs="Arial"/>
                <w:sz w:val="20"/>
                <w:szCs w:val="20"/>
              </w:rPr>
              <w:t>roduction s</w:t>
            </w:r>
            <w:r>
              <w:rPr>
                <w:rFonts w:asciiTheme="majorHAnsi" w:hAnsiTheme="majorHAnsi" w:cs="Arial"/>
                <w:sz w:val="20"/>
                <w:szCs w:val="20"/>
              </w:rPr>
              <w:t>ystem. These</w:t>
            </w:r>
            <w:r w:rsidR="00104E65">
              <w:rPr>
                <w:rFonts w:asciiTheme="majorHAnsi" w:hAnsiTheme="majorHAnsi" w:cs="Arial"/>
                <w:sz w:val="20"/>
                <w:szCs w:val="20"/>
              </w:rPr>
              <w:t xml:space="preserve"> </w:t>
            </w:r>
            <w:r>
              <w:rPr>
                <w:rFonts w:asciiTheme="majorHAnsi" w:hAnsiTheme="majorHAnsi" w:cs="Arial"/>
                <w:sz w:val="20"/>
                <w:szCs w:val="20"/>
              </w:rPr>
              <w:t xml:space="preserve">have </w:t>
            </w:r>
            <w:r w:rsidR="00104E65">
              <w:rPr>
                <w:rFonts w:asciiTheme="majorHAnsi" w:hAnsiTheme="majorHAnsi" w:cs="Arial"/>
                <w:sz w:val="20"/>
                <w:szCs w:val="20"/>
              </w:rPr>
              <w:t>produced viable, affordable new options</w:t>
            </w:r>
            <w:r>
              <w:rPr>
                <w:rFonts w:asciiTheme="majorHAnsi" w:hAnsiTheme="majorHAnsi" w:cs="Arial"/>
                <w:sz w:val="20"/>
                <w:szCs w:val="20"/>
              </w:rPr>
              <w:t xml:space="preserve">. </w:t>
            </w:r>
            <w:r w:rsidR="00104E65">
              <w:rPr>
                <w:rFonts w:asciiTheme="majorHAnsi" w:hAnsiTheme="majorHAnsi" w:cs="Arial"/>
                <w:sz w:val="20"/>
                <w:szCs w:val="20"/>
              </w:rPr>
              <w:t>In conjunction with these system changes, process and workflows will be reviewed and required changes made to more optimally support editorial and production workflows in Cochrane.</w:t>
            </w:r>
          </w:p>
          <w:p w14:paraId="0E658BFD" w14:textId="6DF624BC" w:rsidR="00BD0496" w:rsidRPr="00104E65" w:rsidRDefault="00BD0496" w:rsidP="00104E65">
            <w:pPr>
              <w:rPr>
                <w:rFonts w:asciiTheme="majorHAnsi" w:hAnsiTheme="majorHAnsi" w:cs="Arial"/>
                <w:sz w:val="20"/>
                <w:szCs w:val="20"/>
              </w:rPr>
            </w:pPr>
          </w:p>
        </w:tc>
      </w:tr>
      <w:tr w:rsidR="00104E65" w14:paraId="638115CA" w14:textId="77777777" w:rsidTr="004D5935">
        <w:tc>
          <w:tcPr>
            <w:tcW w:w="4815" w:type="dxa"/>
            <w:shd w:val="clear" w:color="auto" w:fill="F0CEEE" w:themeFill="background2" w:themeFillTint="33"/>
          </w:tcPr>
          <w:p w14:paraId="7D8CCC73" w14:textId="6970574B" w:rsidR="00104E65" w:rsidRPr="004D5935" w:rsidRDefault="00BD0496" w:rsidP="00104E65">
            <w:pPr>
              <w:pStyle w:val="BodyText"/>
              <w:rPr>
                <w:rFonts w:asciiTheme="minorHAnsi" w:hAnsiTheme="minorHAnsi"/>
              </w:rPr>
            </w:pPr>
            <w:r w:rsidRPr="004D5935">
              <w:rPr>
                <w:rFonts w:asciiTheme="minorHAnsi" w:hAnsiTheme="minorHAnsi"/>
              </w:rPr>
              <w:t>Rationale for the Target in 2020:</w:t>
            </w:r>
          </w:p>
        </w:tc>
        <w:tc>
          <w:tcPr>
            <w:tcW w:w="9639" w:type="dxa"/>
          </w:tcPr>
          <w:p w14:paraId="197FB9EC" w14:textId="14B5864E" w:rsidR="00104E65" w:rsidRDefault="00104E65" w:rsidP="00104E65">
            <w:pPr>
              <w:pStyle w:val="BodyText"/>
              <w:numPr>
                <w:ilvl w:val="0"/>
                <w:numId w:val="5"/>
              </w:numPr>
            </w:pPr>
            <w:r>
              <w:t>Improved and aligned editorial and production systems are a critical dependency for most of our Goal 1 Objectives</w:t>
            </w:r>
            <w:r w:rsidR="007C24D7">
              <w:t>.</w:t>
            </w:r>
          </w:p>
          <w:p w14:paraId="540C636E" w14:textId="571C9015" w:rsidR="00104E65" w:rsidRDefault="00104E65" w:rsidP="00104E65">
            <w:pPr>
              <w:pStyle w:val="BodyText"/>
              <w:numPr>
                <w:ilvl w:val="0"/>
                <w:numId w:val="5"/>
              </w:numPr>
            </w:pPr>
            <w:r>
              <w:t xml:space="preserve">Cochrane’s current systems are starting to become outdated. Origin, the consultant which undertook </w:t>
            </w:r>
            <w:r w:rsidR="000C13C3">
              <w:t xml:space="preserve">the EMS evaluation in 2019 (see above, </w:t>
            </w:r>
            <w:r>
              <w:t>Project 2</w:t>
            </w:r>
            <w:r w:rsidR="000C13C3">
              <w:t>)</w:t>
            </w:r>
            <w:r>
              <w:t>, stated in their recommendations report for the EMS:</w:t>
            </w:r>
          </w:p>
          <w:p w14:paraId="7A4F64D9" w14:textId="77777777" w:rsidR="00104E65" w:rsidRDefault="00104E65" w:rsidP="000C13C3">
            <w:pPr>
              <w:pStyle w:val="BodyText"/>
              <w:spacing w:line="120" w:lineRule="auto"/>
            </w:pPr>
          </w:p>
          <w:p w14:paraId="44C5EBC2" w14:textId="526A3927" w:rsidR="000C13C3" w:rsidRPr="006E4BE1" w:rsidRDefault="000C13C3" w:rsidP="000C13C3">
            <w:pPr>
              <w:pStyle w:val="BodyText"/>
              <w:ind w:left="738"/>
              <w:rPr>
                <w:i/>
              </w:rPr>
            </w:pPr>
            <w:r>
              <w:rPr>
                <w:i/>
              </w:rPr>
              <w:t>“</w:t>
            </w:r>
            <w:r w:rsidR="00104E65" w:rsidRPr="006E4BE1">
              <w:rPr>
                <w:i/>
              </w:rPr>
              <w:t>The current variety of systems and technology impact the ability to measure performance at the macro level by denying a clear image of existing operations</w:t>
            </w:r>
            <w:r>
              <w:rPr>
                <w:i/>
              </w:rPr>
              <w:t xml:space="preserve"> … </w:t>
            </w:r>
            <w:r w:rsidR="00104E65" w:rsidRPr="006E4BE1">
              <w:rPr>
                <w:i/>
              </w:rPr>
              <w:t xml:space="preserve">Cochrane </w:t>
            </w:r>
            <w:r w:rsidR="00104E65" w:rsidRPr="007C24D7">
              <w:rPr>
                <w:i/>
                <w:u w:val="single"/>
              </w:rPr>
              <w:t>must invest</w:t>
            </w:r>
            <w:r w:rsidR="00104E65" w:rsidRPr="006E4BE1">
              <w:rPr>
                <w:i/>
              </w:rPr>
              <w:t xml:space="preserve"> in a new EMS solution in order to remain competitive and improve the stakeholder experience</w:t>
            </w:r>
            <w:r>
              <w:rPr>
                <w:i/>
              </w:rPr>
              <w:t xml:space="preserve"> …  </w:t>
            </w:r>
            <w:r w:rsidRPr="006E4BE1">
              <w:rPr>
                <w:i/>
              </w:rPr>
              <w:t>A market-based system would reduce internal pressure for Cochrane by allowing it to focus on content rather than software design.”</w:t>
            </w:r>
          </w:p>
          <w:p w14:paraId="18A7414E" w14:textId="6A5EDB3A" w:rsidR="00104E65" w:rsidRPr="000F40A7" w:rsidRDefault="00104E65" w:rsidP="00104E65">
            <w:pPr>
              <w:pStyle w:val="BodyText"/>
            </w:pPr>
          </w:p>
        </w:tc>
      </w:tr>
      <w:tr w:rsidR="00104E65" w14:paraId="7ED747CD" w14:textId="77777777" w:rsidTr="004D5935">
        <w:tc>
          <w:tcPr>
            <w:tcW w:w="4815" w:type="dxa"/>
            <w:shd w:val="clear" w:color="auto" w:fill="F0CEEE" w:themeFill="background2" w:themeFillTint="33"/>
          </w:tcPr>
          <w:p w14:paraId="6A2DD905" w14:textId="64E8F026" w:rsidR="00104E65" w:rsidRPr="004D5935" w:rsidRDefault="00BD0496" w:rsidP="00104E65">
            <w:pPr>
              <w:pStyle w:val="BodyText"/>
              <w:rPr>
                <w:rFonts w:asciiTheme="minorHAnsi" w:hAnsiTheme="minorHAnsi"/>
              </w:rPr>
            </w:pPr>
            <w:r w:rsidRPr="004D5935">
              <w:rPr>
                <w:rFonts w:asciiTheme="minorHAnsi" w:hAnsiTheme="minorHAnsi"/>
              </w:rPr>
              <w:t>Desired outcomes</w:t>
            </w:r>
          </w:p>
        </w:tc>
        <w:tc>
          <w:tcPr>
            <w:tcW w:w="9639" w:type="dxa"/>
          </w:tcPr>
          <w:p w14:paraId="007CB5A3" w14:textId="77777777" w:rsidR="007C24D7" w:rsidRDefault="00052195" w:rsidP="007C24D7">
            <w:pPr>
              <w:pStyle w:val="BodyText"/>
              <w:numPr>
                <w:ilvl w:val="0"/>
                <w:numId w:val="16"/>
              </w:numPr>
              <w:rPr>
                <w:szCs w:val="20"/>
              </w:rPr>
            </w:pPr>
            <w:r>
              <w:rPr>
                <w:szCs w:val="20"/>
              </w:rPr>
              <w:t>Implementation of</w:t>
            </w:r>
            <w:r w:rsidR="00104E65" w:rsidRPr="008C3A41">
              <w:rPr>
                <w:szCs w:val="20"/>
              </w:rPr>
              <w:t xml:space="preserve"> a new </w:t>
            </w:r>
            <w:r w:rsidR="000C13C3">
              <w:rPr>
                <w:szCs w:val="20"/>
              </w:rPr>
              <w:t>E</w:t>
            </w:r>
            <w:r w:rsidR="00104E65" w:rsidRPr="008C3A41">
              <w:rPr>
                <w:szCs w:val="20"/>
              </w:rPr>
              <w:t xml:space="preserve">ditorial </w:t>
            </w:r>
            <w:r w:rsidR="000C13C3">
              <w:rPr>
                <w:szCs w:val="20"/>
              </w:rPr>
              <w:t>M</w:t>
            </w:r>
            <w:r w:rsidR="00104E65" w:rsidRPr="008C3A41">
              <w:rPr>
                <w:szCs w:val="20"/>
              </w:rPr>
              <w:t>anagement s</w:t>
            </w:r>
            <w:r w:rsidR="000C13C3">
              <w:rPr>
                <w:szCs w:val="20"/>
              </w:rPr>
              <w:t>S</w:t>
            </w:r>
            <w:r w:rsidR="00104E65" w:rsidRPr="008C3A41">
              <w:rPr>
                <w:szCs w:val="20"/>
              </w:rPr>
              <w:t>stem closely aligned with a new production system</w:t>
            </w:r>
            <w:r>
              <w:rPr>
                <w:szCs w:val="20"/>
              </w:rPr>
              <w:t xml:space="preserve"> </w:t>
            </w:r>
            <w:r w:rsidR="00DB4951">
              <w:rPr>
                <w:szCs w:val="20"/>
              </w:rPr>
              <w:t xml:space="preserve">to </w:t>
            </w:r>
            <w:r>
              <w:rPr>
                <w:szCs w:val="20"/>
              </w:rPr>
              <w:t>improve</w:t>
            </w:r>
            <w:r w:rsidR="000C13C3">
              <w:rPr>
                <w:szCs w:val="20"/>
              </w:rPr>
              <w:t>s</w:t>
            </w:r>
            <w:r>
              <w:rPr>
                <w:szCs w:val="20"/>
              </w:rPr>
              <w:t xml:space="preserve"> the efficiency, reliability</w:t>
            </w:r>
            <w:r w:rsidR="00DB4951">
              <w:rPr>
                <w:szCs w:val="20"/>
              </w:rPr>
              <w:t>,</w:t>
            </w:r>
            <w:r>
              <w:rPr>
                <w:szCs w:val="20"/>
              </w:rPr>
              <w:t xml:space="preserve"> and sustainability of producing and publishing Cochrane content.</w:t>
            </w:r>
          </w:p>
          <w:p w14:paraId="58DA6C6D" w14:textId="0702B064" w:rsidR="007C24D7" w:rsidRPr="007C24D7" w:rsidRDefault="007C24D7" w:rsidP="007C24D7">
            <w:pPr>
              <w:pStyle w:val="BodyText"/>
              <w:numPr>
                <w:ilvl w:val="0"/>
                <w:numId w:val="16"/>
              </w:numPr>
              <w:rPr>
                <w:szCs w:val="20"/>
              </w:rPr>
            </w:pPr>
            <w:r w:rsidRPr="007C24D7">
              <w:rPr>
                <w:rFonts w:cs="Arial"/>
                <w:color w:val="1D1C1D"/>
                <w:szCs w:val="20"/>
                <w:shd w:val="clear" w:color="auto" w:fill="F8F8F8"/>
              </w:rPr>
              <w:t xml:space="preserve">Editors, peer reviewers, and authors </w:t>
            </w:r>
            <w:r w:rsidRPr="007C24D7">
              <w:rPr>
                <w:rFonts w:cs="Arial"/>
                <w:color w:val="1D1C1D"/>
                <w:szCs w:val="20"/>
                <w:shd w:val="clear" w:color="auto" w:fill="F8F8F8"/>
              </w:rPr>
              <w:t>will get a</w:t>
            </w:r>
            <w:r w:rsidRPr="007C24D7">
              <w:rPr>
                <w:rFonts w:cs="Arial"/>
                <w:color w:val="1D1C1D"/>
                <w:szCs w:val="20"/>
                <w:shd w:val="clear" w:color="auto" w:fill="F8F8F8"/>
              </w:rPr>
              <w:t xml:space="preserve"> more effective and coherent </w:t>
            </w:r>
            <w:r w:rsidRPr="007C24D7">
              <w:rPr>
                <w:rFonts w:cs="Arial"/>
                <w:color w:val="1D1C1D"/>
                <w:szCs w:val="20"/>
                <w:shd w:val="clear" w:color="auto" w:fill="F8F8F8"/>
              </w:rPr>
              <w:t>editorial process</w:t>
            </w:r>
            <w:r w:rsidRPr="007C24D7">
              <w:rPr>
                <w:rFonts w:cs="Arial"/>
                <w:color w:val="1D1C1D"/>
                <w:szCs w:val="20"/>
                <w:shd w:val="clear" w:color="auto" w:fill="F8F8F8"/>
              </w:rPr>
              <w:t xml:space="preserve">, while greater consistency </w:t>
            </w:r>
            <w:r w:rsidRPr="007C24D7">
              <w:rPr>
                <w:rFonts w:cs="Arial"/>
                <w:color w:val="1D1C1D"/>
                <w:szCs w:val="20"/>
                <w:shd w:val="clear" w:color="auto" w:fill="F8F8F8"/>
              </w:rPr>
              <w:t>will mean Cochrane is better</w:t>
            </w:r>
            <w:r w:rsidRPr="007C24D7">
              <w:rPr>
                <w:rFonts w:cs="Arial"/>
                <w:color w:val="1D1C1D"/>
                <w:szCs w:val="20"/>
                <w:shd w:val="clear" w:color="auto" w:fill="F8F8F8"/>
              </w:rPr>
              <w:t xml:space="preserve"> able to measure the performance of all aspects of the editorial process.</w:t>
            </w:r>
          </w:p>
          <w:p w14:paraId="09525AB5" w14:textId="77777777" w:rsidR="007C24D7" w:rsidRDefault="007C24D7" w:rsidP="007C24D7">
            <w:pPr>
              <w:pStyle w:val="BodyText"/>
              <w:rPr>
                <w:szCs w:val="20"/>
              </w:rPr>
            </w:pPr>
          </w:p>
          <w:p w14:paraId="459BA35F" w14:textId="540D388E" w:rsidR="00104E65" w:rsidRPr="000F40A7" w:rsidRDefault="00104E65" w:rsidP="00052195">
            <w:pPr>
              <w:pStyle w:val="BodyText"/>
              <w:ind w:left="720"/>
            </w:pPr>
          </w:p>
        </w:tc>
      </w:tr>
      <w:tr w:rsidR="00104E65" w14:paraId="1D88EFE3" w14:textId="77777777" w:rsidTr="004D5935">
        <w:tc>
          <w:tcPr>
            <w:tcW w:w="4815" w:type="dxa"/>
            <w:shd w:val="clear" w:color="auto" w:fill="F0CEEE" w:themeFill="background2" w:themeFillTint="33"/>
          </w:tcPr>
          <w:p w14:paraId="23EA90F0" w14:textId="7A6AD862" w:rsidR="00104E65" w:rsidRPr="004D5935" w:rsidRDefault="00BD0496" w:rsidP="00104E65">
            <w:pPr>
              <w:pStyle w:val="BodyText"/>
              <w:rPr>
                <w:rFonts w:asciiTheme="minorHAnsi" w:hAnsiTheme="minorHAnsi"/>
              </w:rPr>
            </w:pPr>
            <w:r w:rsidRPr="004D5935">
              <w:rPr>
                <w:rFonts w:asciiTheme="minorHAnsi" w:hAnsiTheme="minorHAnsi"/>
              </w:rPr>
              <w:t>Planned outputs by the end of 2020</w:t>
            </w:r>
          </w:p>
        </w:tc>
        <w:tc>
          <w:tcPr>
            <w:tcW w:w="9639" w:type="dxa"/>
          </w:tcPr>
          <w:p w14:paraId="138B495F" w14:textId="454C0485" w:rsidR="00104E65" w:rsidRDefault="00104E65" w:rsidP="00052195">
            <w:pPr>
              <w:pStyle w:val="BodyText"/>
            </w:pPr>
            <w:r>
              <w:t>Project 3: Providers for the production system and EMS are selected</w:t>
            </w:r>
            <w:r w:rsidR="00052195">
              <w:t>:</w:t>
            </w:r>
          </w:p>
          <w:p w14:paraId="618A8146" w14:textId="22E7265A" w:rsidR="00104E65" w:rsidRPr="008C3A41" w:rsidRDefault="00104E65" w:rsidP="00052195">
            <w:pPr>
              <w:pStyle w:val="BodyText"/>
              <w:numPr>
                <w:ilvl w:val="0"/>
                <w:numId w:val="15"/>
              </w:numPr>
              <w:rPr>
                <w:b/>
                <w:bCs/>
              </w:rPr>
            </w:pPr>
            <w:r>
              <w:t xml:space="preserve">Proposed architecture </w:t>
            </w:r>
            <w:r w:rsidR="00052195">
              <w:t xml:space="preserve">is </w:t>
            </w:r>
            <w:r>
              <w:t>articulated</w:t>
            </w:r>
          </w:p>
          <w:p w14:paraId="198E4A60" w14:textId="3E11E2B1" w:rsidR="00104E65" w:rsidRPr="008C3A41" w:rsidRDefault="00104E65" w:rsidP="00052195">
            <w:pPr>
              <w:pStyle w:val="BodyText"/>
              <w:numPr>
                <w:ilvl w:val="0"/>
                <w:numId w:val="15"/>
              </w:numPr>
              <w:rPr>
                <w:b/>
                <w:bCs/>
              </w:rPr>
            </w:pPr>
            <w:r>
              <w:t>Implementation plan</w:t>
            </w:r>
            <w:r w:rsidR="00052195">
              <w:t xml:space="preserve"> is</w:t>
            </w:r>
            <w:r>
              <w:t xml:space="preserve"> prepared</w:t>
            </w:r>
          </w:p>
          <w:p w14:paraId="02C80697" w14:textId="34E1035B" w:rsidR="00104E65" w:rsidRPr="00052195" w:rsidRDefault="00052195" w:rsidP="00052195">
            <w:pPr>
              <w:pStyle w:val="BodyText"/>
              <w:numPr>
                <w:ilvl w:val="0"/>
                <w:numId w:val="15"/>
              </w:numPr>
              <w:rPr>
                <w:b/>
                <w:bCs/>
              </w:rPr>
            </w:pPr>
            <w:r>
              <w:t>Co</w:t>
            </w:r>
            <w:r w:rsidR="00104E65">
              <w:t>ntracts with system vendors</w:t>
            </w:r>
            <w:r>
              <w:t xml:space="preserve"> are signed </w:t>
            </w:r>
          </w:p>
          <w:p w14:paraId="374A88A9" w14:textId="77777777" w:rsidR="00052195" w:rsidRPr="008C3A41" w:rsidRDefault="00052195" w:rsidP="00052195">
            <w:pPr>
              <w:pStyle w:val="BodyText"/>
              <w:ind w:left="720"/>
              <w:rPr>
                <w:b/>
                <w:bCs/>
              </w:rPr>
            </w:pPr>
          </w:p>
          <w:p w14:paraId="4EB18DCB" w14:textId="416983A0" w:rsidR="00104E65" w:rsidRDefault="00104E65" w:rsidP="00052195">
            <w:pPr>
              <w:pStyle w:val="BodyText"/>
            </w:pPr>
            <w:r>
              <w:t>Project 4: Workflow analysis and proposed changes</w:t>
            </w:r>
            <w:r w:rsidR="00052195">
              <w:t>:</w:t>
            </w:r>
          </w:p>
          <w:p w14:paraId="0C9994C5" w14:textId="77777777" w:rsidR="00104E65" w:rsidRDefault="00104E65" w:rsidP="00052195">
            <w:pPr>
              <w:pStyle w:val="BodyText"/>
              <w:numPr>
                <w:ilvl w:val="0"/>
                <w:numId w:val="6"/>
              </w:numPr>
            </w:pPr>
            <w:r>
              <w:t xml:space="preserve">A comprehensive workflow map is created </w:t>
            </w:r>
          </w:p>
          <w:p w14:paraId="7AED02E2" w14:textId="77777777" w:rsidR="00104E65" w:rsidRDefault="00104E65" w:rsidP="00052195">
            <w:pPr>
              <w:pStyle w:val="BodyText"/>
              <w:numPr>
                <w:ilvl w:val="0"/>
                <w:numId w:val="6"/>
              </w:numPr>
            </w:pPr>
            <w:r>
              <w:t xml:space="preserve">Roles and responsibilities for each system are defined </w:t>
            </w:r>
          </w:p>
          <w:p w14:paraId="71949694" w14:textId="77777777" w:rsidR="00104E65" w:rsidRDefault="00104E65" w:rsidP="00052195">
            <w:pPr>
              <w:pStyle w:val="BodyText"/>
              <w:numPr>
                <w:ilvl w:val="0"/>
                <w:numId w:val="6"/>
              </w:numPr>
            </w:pPr>
            <w:r>
              <w:t xml:space="preserve">A list of ‘testable unknowns’ for piloting in implementation are identified </w:t>
            </w:r>
          </w:p>
          <w:p w14:paraId="6C619CFB" w14:textId="77777777" w:rsidR="00104E65" w:rsidRDefault="00104E65" w:rsidP="00052195">
            <w:pPr>
              <w:pStyle w:val="BodyText"/>
            </w:pPr>
          </w:p>
          <w:p w14:paraId="77D034B4" w14:textId="3BE8C699" w:rsidR="00104E65" w:rsidRDefault="00104E65" w:rsidP="00052195">
            <w:pPr>
              <w:pStyle w:val="BodyText"/>
            </w:pPr>
            <w:r>
              <w:lastRenderedPageBreak/>
              <w:t xml:space="preserve">Project 5: </w:t>
            </w:r>
            <w:r w:rsidR="00052195">
              <w:t xml:space="preserve"> St</w:t>
            </w:r>
            <w:r>
              <w:t>aggered implementation of both systems across Cochrane</w:t>
            </w:r>
            <w:r w:rsidR="00DB4951">
              <w:t xml:space="preserve"> begins</w:t>
            </w:r>
            <w:r w:rsidR="00BC4FE7">
              <w:t xml:space="preserve"> (c</w:t>
            </w:r>
            <w:r w:rsidR="00DB4951">
              <w:t>ontinu</w:t>
            </w:r>
            <w:r w:rsidR="00BC4FE7">
              <w:t xml:space="preserve">ing </w:t>
            </w:r>
            <w:r w:rsidR="00DB4951">
              <w:t>into 2021</w:t>
            </w:r>
            <w:r w:rsidR="00BC4FE7">
              <w:t>).</w:t>
            </w:r>
          </w:p>
          <w:p w14:paraId="2E01FE63" w14:textId="1A3F7C6D" w:rsidR="00104E65" w:rsidRPr="000F40A7" w:rsidRDefault="00104E65" w:rsidP="00104E65">
            <w:pPr>
              <w:pStyle w:val="BodyText"/>
            </w:pPr>
          </w:p>
        </w:tc>
      </w:tr>
    </w:tbl>
    <w:p w14:paraId="04C914B8" w14:textId="4C6C1B2B" w:rsidR="00303330" w:rsidRDefault="00303330" w:rsidP="00303330">
      <w:pPr>
        <w:pStyle w:val="TableParagraph"/>
        <w:tabs>
          <w:tab w:val="left" w:pos="829"/>
        </w:tabs>
        <w:ind w:left="0" w:right="879"/>
      </w:pPr>
    </w:p>
    <w:p w14:paraId="6914A58F" w14:textId="77777777" w:rsidR="004D5935" w:rsidRDefault="004D5935" w:rsidP="00303330">
      <w:pPr>
        <w:pStyle w:val="TableParagraph"/>
        <w:tabs>
          <w:tab w:val="left" w:pos="829"/>
        </w:tabs>
        <w:ind w:left="0" w:right="879"/>
      </w:pPr>
    </w:p>
    <w:tbl>
      <w:tblPr>
        <w:tblStyle w:val="TableGridLight1"/>
        <w:tblW w:w="14454" w:type="dxa"/>
        <w:tblLook w:val="04A0" w:firstRow="1" w:lastRow="0" w:firstColumn="1" w:lastColumn="0" w:noHBand="0" w:noVBand="1"/>
      </w:tblPr>
      <w:tblGrid>
        <w:gridCol w:w="4815"/>
        <w:gridCol w:w="9639"/>
      </w:tblGrid>
      <w:tr w:rsidR="00EF5F80" w14:paraId="4136FD49" w14:textId="77777777" w:rsidTr="004D5935">
        <w:tc>
          <w:tcPr>
            <w:tcW w:w="14454" w:type="dxa"/>
            <w:gridSpan w:val="2"/>
          </w:tcPr>
          <w:p w14:paraId="599518A4" w14:textId="3E57EF5C" w:rsidR="00EF5F80" w:rsidRPr="00BC4FE7" w:rsidRDefault="00EF5F80" w:rsidP="00EF5F80">
            <w:pPr>
              <w:pStyle w:val="LongSubtitle"/>
              <w:rPr>
                <w:b/>
                <w:bCs/>
              </w:rPr>
            </w:pPr>
            <w:r w:rsidRPr="00BC4FE7">
              <w:rPr>
                <w:b/>
                <w:bCs/>
              </w:rPr>
              <w:t>TARGET 2: IMPLEMENTATION O</w:t>
            </w:r>
            <w:r w:rsidR="000D1C6B" w:rsidRPr="00BC4FE7">
              <w:rPr>
                <w:b/>
                <w:bCs/>
              </w:rPr>
              <w:t>F</w:t>
            </w:r>
            <w:r w:rsidR="000569C2" w:rsidRPr="00BC4FE7">
              <w:rPr>
                <w:b/>
                <w:bCs/>
              </w:rPr>
              <w:t xml:space="preserve"> MORE RIGOROUS</w:t>
            </w:r>
            <w:r w:rsidRPr="00BC4FE7">
              <w:rPr>
                <w:b/>
                <w:bCs/>
              </w:rPr>
              <w:t xml:space="preserve"> CONFLICT OF INTEREST POLIC</w:t>
            </w:r>
            <w:r w:rsidR="000D1C6B" w:rsidRPr="00BC4FE7">
              <w:rPr>
                <w:b/>
                <w:bCs/>
              </w:rPr>
              <w:t>IES</w:t>
            </w:r>
          </w:p>
          <w:p w14:paraId="60FD13CB" w14:textId="77777777" w:rsidR="00BC4FE7" w:rsidRDefault="00BC4FE7" w:rsidP="00EF5F80">
            <w:pPr>
              <w:pStyle w:val="BodyText"/>
              <w:rPr>
                <w:rFonts w:asciiTheme="minorHAnsi" w:hAnsiTheme="minorHAnsi"/>
              </w:rPr>
            </w:pPr>
          </w:p>
          <w:p w14:paraId="599F4987" w14:textId="0BA8ACE2" w:rsidR="00EF5F80" w:rsidRPr="00381DF9" w:rsidRDefault="00EF5F80" w:rsidP="00EF5F80">
            <w:pPr>
              <w:pStyle w:val="BodyText"/>
              <w:rPr>
                <w:rFonts w:asciiTheme="minorHAnsi" w:hAnsiTheme="minorHAnsi"/>
                <w:sz w:val="22"/>
              </w:rPr>
            </w:pPr>
            <w:r w:rsidRPr="00381DF9">
              <w:rPr>
                <w:rFonts w:asciiTheme="minorHAnsi" w:hAnsiTheme="minorHAnsi"/>
                <w:sz w:val="22"/>
              </w:rPr>
              <w:t xml:space="preserve">In 2020, </w:t>
            </w:r>
            <w:r w:rsidR="000D1C6B" w:rsidRPr="00381DF9">
              <w:rPr>
                <w:rFonts w:asciiTheme="minorHAnsi" w:hAnsiTheme="minorHAnsi"/>
                <w:sz w:val="22"/>
              </w:rPr>
              <w:t xml:space="preserve">new policies that strengthen Cochrane’s approach to financial interests, and clarify our position regarding non-financial interests, will be implemented. </w:t>
            </w:r>
          </w:p>
          <w:p w14:paraId="4E8436CC" w14:textId="47DF3920" w:rsidR="00EF5F80" w:rsidRPr="00310499" w:rsidRDefault="00EF5F80" w:rsidP="00310499">
            <w:pPr>
              <w:pStyle w:val="LongSubtitle"/>
              <w:spacing w:line="240" w:lineRule="auto"/>
              <w:rPr>
                <w:sz w:val="22"/>
                <w:szCs w:val="22"/>
              </w:rPr>
            </w:pPr>
          </w:p>
        </w:tc>
      </w:tr>
      <w:tr w:rsidR="00EF5F80" w14:paraId="50D496DF" w14:textId="77777777" w:rsidTr="004D5935">
        <w:tc>
          <w:tcPr>
            <w:tcW w:w="4815" w:type="dxa"/>
            <w:shd w:val="clear" w:color="auto" w:fill="F0CEEE" w:themeFill="background2" w:themeFillTint="33"/>
          </w:tcPr>
          <w:p w14:paraId="759FB6CD" w14:textId="77777777" w:rsidR="00EF5F80" w:rsidRPr="004D5935" w:rsidRDefault="00EF5F80" w:rsidP="00826158">
            <w:pPr>
              <w:pStyle w:val="BodyText"/>
              <w:rPr>
                <w:b/>
              </w:rPr>
            </w:pPr>
            <w:r w:rsidRPr="004D5935">
              <w:rPr>
                <w:b/>
              </w:rPr>
              <w:t xml:space="preserve">Contributes to </w:t>
            </w:r>
            <w:r w:rsidRPr="004D5935">
              <w:rPr>
                <w:b/>
                <w:i/>
              </w:rPr>
              <w:t>Strategy to 2020</w:t>
            </w:r>
            <w:r w:rsidRPr="004D5935">
              <w:rPr>
                <w:b/>
              </w:rPr>
              <w:t xml:space="preserve"> Objective(s):</w:t>
            </w:r>
          </w:p>
          <w:p w14:paraId="0B34DC26" w14:textId="77777777" w:rsidR="00EF5F80" w:rsidRPr="004D5935" w:rsidRDefault="00EF5F80" w:rsidP="00826158">
            <w:pPr>
              <w:pStyle w:val="BodyText"/>
              <w:rPr>
                <w:b/>
              </w:rPr>
            </w:pPr>
          </w:p>
        </w:tc>
        <w:tc>
          <w:tcPr>
            <w:tcW w:w="9639" w:type="dxa"/>
          </w:tcPr>
          <w:p w14:paraId="76E01232" w14:textId="77777777" w:rsidR="000D1C6B" w:rsidRDefault="000D1C6B" w:rsidP="000D1C6B">
            <w:pPr>
              <w:pStyle w:val="BodyText"/>
              <w:rPr>
                <w:b/>
                <w:bCs/>
                <w:lang w:eastAsia="en-GB"/>
              </w:rPr>
            </w:pPr>
            <w:r>
              <w:rPr>
                <w:b/>
                <w:bCs/>
                <w:lang w:eastAsia="en-GB"/>
              </w:rPr>
              <w:t>1.1. HIGH-QUALITY</w:t>
            </w:r>
          </w:p>
          <w:p w14:paraId="7D90830F" w14:textId="77777777" w:rsidR="00EF5F80" w:rsidRDefault="000D1C6B" w:rsidP="000D1C6B">
            <w:pPr>
              <w:pStyle w:val="BodyText"/>
              <w:rPr>
                <w:lang w:eastAsia="en-GB"/>
              </w:rPr>
            </w:pPr>
            <w:r w:rsidRPr="00C358AA">
              <w:rPr>
                <w:lang w:eastAsia="en-GB"/>
              </w:rPr>
              <w:t>We will continue to develop and implement comprehensive quality assurance mechanisms for editorial and methodological standards throughout our production and updating processes.</w:t>
            </w:r>
          </w:p>
          <w:p w14:paraId="534673C8" w14:textId="070247FE" w:rsidR="00741B3D" w:rsidRPr="000F40A7" w:rsidRDefault="00741B3D" w:rsidP="000D1C6B">
            <w:pPr>
              <w:pStyle w:val="BodyText"/>
            </w:pPr>
          </w:p>
        </w:tc>
      </w:tr>
      <w:tr w:rsidR="00EF5F80" w14:paraId="067D7BFD" w14:textId="77777777" w:rsidTr="004D5935">
        <w:tc>
          <w:tcPr>
            <w:tcW w:w="4815" w:type="dxa"/>
            <w:shd w:val="clear" w:color="auto" w:fill="F0CEEE" w:themeFill="background2" w:themeFillTint="33"/>
          </w:tcPr>
          <w:p w14:paraId="06ACD357" w14:textId="77777777" w:rsidR="00EF5F80" w:rsidRPr="004D5935" w:rsidRDefault="00EF5F80" w:rsidP="00826158">
            <w:pPr>
              <w:pStyle w:val="BodyText"/>
              <w:rPr>
                <w:b/>
              </w:rPr>
            </w:pPr>
            <w:r w:rsidRPr="004D5935">
              <w:rPr>
                <w:b/>
              </w:rPr>
              <w:t>Background</w:t>
            </w:r>
          </w:p>
        </w:tc>
        <w:tc>
          <w:tcPr>
            <w:tcW w:w="9639" w:type="dxa"/>
          </w:tcPr>
          <w:p w14:paraId="0B9A7E24" w14:textId="012363F3" w:rsidR="000D1C6B" w:rsidRDefault="000D1C6B" w:rsidP="000D1C6B">
            <w:pPr>
              <w:pStyle w:val="BodyText"/>
            </w:pPr>
            <w:r>
              <w:t xml:space="preserve">In </w:t>
            </w:r>
            <w:r w:rsidRPr="00104E65">
              <w:t>201</w:t>
            </w:r>
            <w:r w:rsidR="004D5935" w:rsidRPr="00104E65">
              <w:t>8</w:t>
            </w:r>
            <w:r w:rsidRPr="00104E65">
              <w:t>, Cochrane initiated a revision of its Commercial Sponsorship policy for Cochrane Review</w:t>
            </w:r>
            <w:r w:rsidR="009B19FC" w:rsidRPr="00104E65">
              <w:t>s</w:t>
            </w:r>
            <w:r w:rsidRPr="00104E65">
              <w:t>. This work was led by a panel</w:t>
            </w:r>
            <w:r>
              <w:t xml:space="preserve"> of experts that included Cochrane’s Conflict of Interest </w:t>
            </w:r>
            <w:r w:rsidR="00734C74">
              <w:t xml:space="preserve">(Funding) </w:t>
            </w:r>
            <w:r>
              <w:t>Arbiters, members of the Cochrane Governing and Editorial Boards, and other Cochrane members with expertise in conflict of interest.</w:t>
            </w:r>
          </w:p>
          <w:p w14:paraId="63BBF67C" w14:textId="77777777" w:rsidR="000D1C6B" w:rsidRDefault="000D1C6B" w:rsidP="000D1C6B">
            <w:pPr>
              <w:pStyle w:val="BodyText"/>
            </w:pPr>
          </w:p>
          <w:p w14:paraId="7B867600" w14:textId="39528362" w:rsidR="00EF5F80" w:rsidRDefault="000D1C6B" w:rsidP="000D1C6B">
            <w:pPr>
              <w:pStyle w:val="BodyText"/>
            </w:pPr>
            <w:r>
              <w:t>At the end of this proc</w:t>
            </w:r>
            <w:r w:rsidR="000C4321">
              <w:t>ess</w:t>
            </w:r>
            <w:r>
              <w:t xml:space="preserve">, </w:t>
            </w:r>
            <w:r w:rsidR="009B19FC">
              <w:t>the</w:t>
            </w:r>
            <w:r w:rsidR="000C4321">
              <w:t xml:space="preserve"> panel</w:t>
            </w:r>
            <w:r>
              <w:t xml:space="preserve"> </w:t>
            </w:r>
            <w:r w:rsidR="00BC4FE7">
              <w:t xml:space="preserve">proposed </w:t>
            </w:r>
            <w:r>
              <w:t>a series of recommendations to strengthen Cochrane’s policy regarding financial and non-financial conflicts of interest</w:t>
            </w:r>
            <w:r w:rsidR="009B19FC">
              <w:t>. The</w:t>
            </w:r>
            <w:r>
              <w:t xml:space="preserve"> Governing Board approved these</w:t>
            </w:r>
            <w:r w:rsidR="007C24D7">
              <w:t xml:space="preserve"> </w:t>
            </w:r>
            <w:r>
              <w:t>recommendations</w:t>
            </w:r>
            <w:r w:rsidR="00BC4FE7">
              <w:t xml:space="preserve"> in October 2019</w:t>
            </w:r>
            <w:r>
              <w:t>, and work has</w:t>
            </w:r>
            <w:r w:rsidR="009B19FC">
              <w:t xml:space="preserve"> begun</w:t>
            </w:r>
            <w:r>
              <w:t xml:space="preserve"> </w:t>
            </w:r>
            <w:r w:rsidR="00BC4FE7">
              <w:t xml:space="preserve">to </w:t>
            </w:r>
            <w:r>
              <w:t xml:space="preserve">rewrite </w:t>
            </w:r>
            <w:r w:rsidR="000C4321">
              <w:t xml:space="preserve">the </w:t>
            </w:r>
            <w:r>
              <w:t>current policy accordingly. The new policy</w:t>
            </w:r>
            <w:r w:rsidR="007C24D7">
              <w:t xml:space="preserve"> </w:t>
            </w:r>
            <w:r>
              <w:t xml:space="preserve">will come into force early in </w:t>
            </w:r>
            <w:r w:rsidR="004D5935">
              <w:t>2020 and</w:t>
            </w:r>
            <w:r>
              <w:t xml:space="preserve"> will apply to all newly registered Cochrane Reviews.</w:t>
            </w:r>
            <w:r w:rsidR="00BC4FE7">
              <w:t xml:space="preserve"> </w:t>
            </w:r>
            <w:r w:rsidR="000C4321">
              <w:t>Work now needs to be undertaken to revise and clarify the supporting policy for Cochrane Groups</w:t>
            </w:r>
            <w:r w:rsidR="005D7B64">
              <w:t xml:space="preserve"> and members. </w:t>
            </w:r>
          </w:p>
          <w:p w14:paraId="2F345A6B" w14:textId="01D24AA6" w:rsidR="000D1C6B" w:rsidRPr="000F40A7" w:rsidRDefault="000D1C6B" w:rsidP="00826158">
            <w:pPr>
              <w:pStyle w:val="BodyText"/>
            </w:pPr>
          </w:p>
        </w:tc>
      </w:tr>
      <w:tr w:rsidR="00EF5F80" w14:paraId="21FDAABF" w14:textId="77777777" w:rsidTr="004D5935">
        <w:tc>
          <w:tcPr>
            <w:tcW w:w="4815" w:type="dxa"/>
            <w:shd w:val="clear" w:color="auto" w:fill="F0CEEE" w:themeFill="background2" w:themeFillTint="33"/>
          </w:tcPr>
          <w:p w14:paraId="170A4678" w14:textId="77777777" w:rsidR="00EF5F80" w:rsidRPr="004D5935" w:rsidRDefault="00EF5F80" w:rsidP="00826158">
            <w:pPr>
              <w:pStyle w:val="BodyText"/>
              <w:rPr>
                <w:b/>
              </w:rPr>
            </w:pPr>
            <w:r w:rsidRPr="004D5935">
              <w:rPr>
                <w:b/>
              </w:rPr>
              <w:t xml:space="preserve">Rationale for the Target in 2020: </w:t>
            </w:r>
          </w:p>
        </w:tc>
        <w:tc>
          <w:tcPr>
            <w:tcW w:w="9639" w:type="dxa"/>
          </w:tcPr>
          <w:p w14:paraId="07C0A1D1" w14:textId="62760700" w:rsidR="000B735F" w:rsidRDefault="000B735F" w:rsidP="00317D13">
            <w:pPr>
              <w:pStyle w:val="BodyText"/>
              <w:numPr>
                <w:ilvl w:val="0"/>
                <w:numId w:val="7"/>
              </w:numPr>
            </w:pPr>
            <w:r>
              <w:t xml:space="preserve">Cochrane’s </w:t>
            </w:r>
            <w:r w:rsidR="00741B3D">
              <w:t>reputation for</w:t>
            </w:r>
            <w:r w:rsidRPr="000B735F">
              <w:t xml:space="preserve"> independence, transparency and integrity in healthcare </w:t>
            </w:r>
            <w:r>
              <w:t xml:space="preserve">research is one of its most important features. World-leading conflict of interest policies are essential to </w:t>
            </w:r>
            <w:r w:rsidR="00741B3D">
              <w:t xml:space="preserve">maintaining this reputation. </w:t>
            </w:r>
          </w:p>
          <w:p w14:paraId="5A93EFD2" w14:textId="689E6F24" w:rsidR="000B735F" w:rsidRDefault="000B735F" w:rsidP="00317D13">
            <w:pPr>
              <w:pStyle w:val="BodyText"/>
              <w:numPr>
                <w:ilvl w:val="0"/>
                <w:numId w:val="7"/>
              </w:numPr>
            </w:pPr>
            <w:r>
              <w:t>The current policy</w:t>
            </w:r>
            <w:r w:rsidR="00741B3D">
              <w:t xml:space="preserve"> for Cochrane Reviews</w:t>
            </w:r>
            <w:r>
              <w:t xml:space="preserve"> lacks clarity in places and is difficult for Review Groups to implement and the Funding Arbiters to administer</w:t>
            </w:r>
            <w:r w:rsidR="004D658C">
              <w:t>.</w:t>
            </w:r>
          </w:p>
          <w:p w14:paraId="1260BCEC" w14:textId="77777777" w:rsidR="000B735F" w:rsidRDefault="00741B3D" w:rsidP="00317D13">
            <w:pPr>
              <w:pStyle w:val="BodyText"/>
              <w:numPr>
                <w:ilvl w:val="0"/>
                <w:numId w:val="7"/>
              </w:numPr>
            </w:pPr>
            <w:r>
              <w:t>The policies for Cochrane Reviews and Cochrane Groups need to be aligned.</w:t>
            </w:r>
          </w:p>
          <w:p w14:paraId="4A8D18CF" w14:textId="4ECC658D" w:rsidR="00B24AD7" w:rsidRPr="000F40A7" w:rsidRDefault="00B24AD7" w:rsidP="00B24AD7">
            <w:pPr>
              <w:pStyle w:val="BodyText"/>
              <w:ind w:left="720"/>
            </w:pPr>
          </w:p>
        </w:tc>
      </w:tr>
      <w:tr w:rsidR="00EF5F80" w14:paraId="23E9BD9B" w14:textId="77777777" w:rsidTr="004D5935">
        <w:tc>
          <w:tcPr>
            <w:tcW w:w="4815" w:type="dxa"/>
            <w:shd w:val="clear" w:color="auto" w:fill="F0CEEE" w:themeFill="background2" w:themeFillTint="33"/>
          </w:tcPr>
          <w:p w14:paraId="1B8C2A4B" w14:textId="77777777" w:rsidR="00EF5F80" w:rsidRPr="004D5935" w:rsidRDefault="00EF5F80" w:rsidP="00826158">
            <w:pPr>
              <w:pStyle w:val="BodyText"/>
              <w:rPr>
                <w:b/>
              </w:rPr>
            </w:pPr>
            <w:r w:rsidRPr="004D5935">
              <w:rPr>
                <w:b/>
              </w:rPr>
              <w:t>Desired outcomes</w:t>
            </w:r>
          </w:p>
        </w:tc>
        <w:tc>
          <w:tcPr>
            <w:tcW w:w="9639" w:type="dxa"/>
          </w:tcPr>
          <w:p w14:paraId="4D6191D3" w14:textId="1A391D32" w:rsidR="00B24AD7" w:rsidRDefault="00B24AD7" w:rsidP="00317D13">
            <w:pPr>
              <w:pStyle w:val="BodyText"/>
              <w:numPr>
                <w:ilvl w:val="0"/>
                <w:numId w:val="8"/>
              </w:numPr>
            </w:pPr>
            <w:r>
              <w:t xml:space="preserve">Users of Cochrane Library content </w:t>
            </w:r>
            <w:r w:rsidR="00BC4FE7">
              <w:t xml:space="preserve">can </w:t>
            </w:r>
            <w:r>
              <w:t xml:space="preserve">see clearly where conflicts exist and </w:t>
            </w:r>
            <w:r w:rsidR="00BC4FE7">
              <w:t xml:space="preserve">can </w:t>
            </w:r>
            <w:r>
              <w:t>be confident that our policy mitigates the impacts of conflict of interests on Cochrane Reviews.</w:t>
            </w:r>
          </w:p>
          <w:p w14:paraId="6808DE4B" w14:textId="1C21D23F" w:rsidR="00B24AD7" w:rsidRDefault="00B24AD7" w:rsidP="00317D13">
            <w:pPr>
              <w:pStyle w:val="BodyText"/>
              <w:numPr>
                <w:ilvl w:val="0"/>
                <w:numId w:val="8"/>
              </w:numPr>
            </w:pPr>
            <w:r>
              <w:t>Everyone involved in producing Cochrane Reviews understand</w:t>
            </w:r>
            <w:r w:rsidR="00BC4FE7">
              <w:t>s</w:t>
            </w:r>
            <w:r>
              <w:t xml:space="preserve"> the new policy and can apply it as part of their regular editorial process.</w:t>
            </w:r>
          </w:p>
          <w:p w14:paraId="593CE146" w14:textId="781B7732" w:rsidR="00B24AD7" w:rsidRDefault="00B24AD7" w:rsidP="00317D13">
            <w:pPr>
              <w:pStyle w:val="BodyText"/>
              <w:numPr>
                <w:ilvl w:val="0"/>
                <w:numId w:val="8"/>
              </w:numPr>
            </w:pPr>
            <w:r>
              <w:t>All policies and process</w:t>
            </w:r>
            <w:r w:rsidR="00BC4FE7">
              <w:t>es</w:t>
            </w:r>
            <w:r>
              <w:t xml:space="preserve"> for managing </w:t>
            </w:r>
            <w:r w:rsidR="00B05AB7">
              <w:t>c</w:t>
            </w:r>
            <w:r>
              <w:t xml:space="preserve">onflict of </w:t>
            </w:r>
            <w:r w:rsidR="00B05AB7">
              <w:t>i</w:t>
            </w:r>
            <w:r>
              <w:t>nterests in Cochrane are consistent and aligned.</w:t>
            </w:r>
          </w:p>
          <w:p w14:paraId="0D9EE5FC" w14:textId="77777777" w:rsidR="00EF5F80" w:rsidRPr="000F40A7" w:rsidRDefault="00EF5F80" w:rsidP="00826158">
            <w:pPr>
              <w:pStyle w:val="BodyText"/>
            </w:pPr>
          </w:p>
        </w:tc>
      </w:tr>
      <w:tr w:rsidR="00EF5F80" w14:paraId="174B6CE5" w14:textId="77777777" w:rsidTr="004D5935">
        <w:trPr>
          <w:trHeight w:val="70"/>
        </w:trPr>
        <w:tc>
          <w:tcPr>
            <w:tcW w:w="4815" w:type="dxa"/>
            <w:shd w:val="clear" w:color="auto" w:fill="F0CEEE" w:themeFill="background2" w:themeFillTint="33"/>
          </w:tcPr>
          <w:p w14:paraId="591B9A9B" w14:textId="77777777" w:rsidR="00EF5F80" w:rsidRPr="004D5935" w:rsidRDefault="00EF5F80" w:rsidP="00826158">
            <w:pPr>
              <w:pStyle w:val="BodyText"/>
              <w:rPr>
                <w:b/>
              </w:rPr>
            </w:pPr>
            <w:r w:rsidRPr="004D5935">
              <w:rPr>
                <w:b/>
              </w:rPr>
              <w:lastRenderedPageBreak/>
              <w:t>Planned outputs by the end of 2020</w:t>
            </w:r>
          </w:p>
        </w:tc>
        <w:tc>
          <w:tcPr>
            <w:tcW w:w="9639" w:type="dxa"/>
          </w:tcPr>
          <w:p w14:paraId="168CB7CF" w14:textId="327A6B99" w:rsidR="00EF5F80" w:rsidRDefault="00B05AB7" w:rsidP="00317D13">
            <w:pPr>
              <w:pStyle w:val="BodyText"/>
              <w:numPr>
                <w:ilvl w:val="0"/>
                <w:numId w:val="9"/>
              </w:numPr>
            </w:pPr>
            <w:r>
              <w:t xml:space="preserve">New conflict of interest policies for Cochrane Reviews and Cochrane Groups </w:t>
            </w:r>
            <w:r w:rsidR="00667C8E">
              <w:t xml:space="preserve">are </w:t>
            </w:r>
            <w:r>
              <w:t>published</w:t>
            </w:r>
            <w:r w:rsidR="004D658C">
              <w:t>.</w:t>
            </w:r>
          </w:p>
          <w:p w14:paraId="63711559" w14:textId="18EB9608" w:rsidR="00B05AB7" w:rsidRDefault="00B05AB7" w:rsidP="00317D13">
            <w:pPr>
              <w:pStyle w:val="BodyText"/>
              <w:numPr>
                <w:ilvl w:val="0"/>
                <w:numId w:val="9"/>
              </w:numPr>
            </w:pPr>
            <w:r>
              <w:t xml:space="preserve">New declaration of interest forms </w:t>
            </w:r>
            <w:r w:rsidR="00667C8E">
              <w:t xml:space="preserve">are </w:t>
            </w:r>
            <w:r>
              <w:t>developed and implemented</w:t>
            </w:r>
            <w:r w:rsidR="004D658C">
              <w:t>.</w:t>
            </w:r>
          </w:p>
          <w:p w14:paraId="441AE76A" w14:textId="20E75D44" w:rsidR="00B05AB7" w:rsidRDefault="00B05AB7" w:rsidP="00317D13">
            <w:pPr>
              <w:pStyle w:val="BodyText"/>
              <w:numPr>
                <w:ilvl w:val="0"/>
                <w:numId w:val="9"/>
              </w:numPr>
            </w:pPr>
            <w:r>
              <w:t xml:space="preserve">A conflict of interest ‘portal’ </w:t>
            </w:r>
            <w:r w:rsidR="00667C8E">
              <w:t xml:space="preserve">is launched </w:t>
            </w:r>
            <w:r>
              <w:t>on the Cochrane websites</w:t>
            </w:r>
            <w:r w:rsidR="004D658C">
              <w:t>.</w:t>
            </w:r>
          </w:p>
          <w:p w14:paraId="2F742F68" w14:textId="2F45C931" w:rsidR="00EF5F80" w:rsidRPr="000F40A7" w:rsidRDefault="00B05AB7" w:rsidP="00826158">
            <w:pPr>
              <w:pStyle w:val="BodyText"/>
              <w:numPr>
                <w:ilvl w:val="0"/>
                <w:numId w:val="9"/>
              </w:numPr>
            </w:pPr>
            <w:r>
              <w:t xml:space="preserve">Training materials and support </w:t>
            </w:r>
            <w:r w:rsidR="00667C8E">
              <w:t xml:space="preserve">are </w:t>
            </w:r>
            <w:r>
              <w:t>provided</w:t>
            </w:r>
            <w:r w:rsidR="004D658C">
              <w:t>.</w:t>
            </w:r>
          </w:p>
        </w:tc>
      </w:tr>
    </w:tbl>
    <w:tbl>
      <w:tblPr>
        <w:tblStyle w:val="TableGrid"/>
        <w:tblW w:w="14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59"/>
      </w:tblGrid>
      <w:tr w:rsidR="00EE5AED" w:rsidRPr="00C4076F" w14:paraId="545F8F85" w14:textId="77777777" w:rsidTr="00FD2148">
        <w:tc>
          <w:tcPr>
            <w:tcW w:w="14459" w:type="dxa"/>
            <w:shd w:val="clear" w:color="auto" w:fill="F0CEEE" w:themeFill="accent2" w:themeFillTint="33"/>
          </w:tcPr>
          <w:p w14:paraId="312C8766" w14:textId="77777777" w:rsidR="00EE5AED" w:rsidRDefault="00EE5AED" w:rsidP="00EE5AED">
            <w:pPr>
              <w:jc w:val="both"/>
              <w:rPr>
                <w:rFonts w:asciiTheme="majorHAnsi" w:hAnsiTheme="majorHAnsi"/>
                <w:b/>
                <w:color w:val="002060"/>
              </w:rPr>
            </w:pPr>
          </w:p>
          <w:p w14:paraId="14532282" w14:textId="77777777" w:rsidR="00EE5AED" w:rsidRPr="00C4076F" w:rsidRDefault="00EE5AED" w:rsidP="00EE5AED">
            <w:pPr>
              <w:jc w:val="both"/>
              <w:rPr>
                <w:rFonts w:asciiTheme="majorHAnsi" w:hAnsiTheme="majorHAnsi"/>
                <w:b/>
                <w:color w:val="002060"/>
                <w:sz w:val="36"/>
                <w:szCs w:val="36"/>
              </w:rPr>
            </w:pPr>
            <w:r w:rsidRPr="00C4076F">
              <w:rPr>
                <w:rFonts w:asciiTheme="majorHAnsi" w:hAnsiTheme="majorHAnsi"/>
                <w:b/>
                <w:color w:val="002060"/>
                <w:sz w:val="36"/>
                <w:szCs w:val="36"/>
              </w:rPr>
              <w:t>GOAL 2: MAKING OUR EVIDENCE ACCESSIBLE</w:t>
            </w:r>
          </w:p>
        </w:tc>
      </w:tr>
      <w:tr w:rsidR="00EE5AED" w:rsidRPr="00C4076F" w14:paraId="67540991" w14:textId="77777777" w:rsidTr="00FD2148">
        <w:tc>
          <w:tcPr>
            <w:tcW w:w="14459" w:type="dxa"/>
            <w:shd w:val="clear" w:color="auto" w:fill="F0CEEE" w:themeFill="accent2" w:themeFillTint="33"/>
          </w:tcPr>
          <w:p w14:paraId="7111C74B" w14:textId="77777777" w:rsidR="00EE5AED" w:rsidRPr="00205548" w:rsidRDefault="00EE5AED" w:rsidP="00EE5AED">
            <w:pPr>
              <w:jc w:val="both"/>
              <w:rPr>
                <w:rFonts w:asciiTheme="majorHAnsi" w:hAnsiTheme="majorHAnsi"/>
                <w:b/>
                <w:color w:val="002060"/>
                <w:sz w:val="28"/>
                <w:szCs w:val="28"/>
              </w:rPr>
            </w:pPr>
            <w:r w:rsidRPr="00205548">
              <w:rPr>
                <w:rFonts w:asciiTheme="majorHAnsi" w:hAnsiTheme="majorHAnsi"/>
                <w:b/>
                <w:color w:val="002060"/>
                <w:sz w:val="28"/>
                <w:szCs w:val="28"/>
              </w:rPr>
              <w:t>To make Cochrane evidence accessible and useful to everybody, everywhere in the world.</w:t>
            </w:r>
          </w:p>
          <w:p w14:paraId="52176A40" w14:textId="77777777" w:rsidR="00EE5AED" w:rsidRPr="00C4076F" w:rsidRDefault="00EE5AED" w:rsidP="00EE5AED">
            <w:pPr>
              <w:jc w:val="both"/>
              <w:rPr>
                <w:rFonts w:asciiTheme="majorHAnsi" w:hAnsiTheme="majorHAnsi"/>
              </w:rPr>
            </w:pPr>
          </w:p>
        </w:tc>
      </w:tr>
    </w:tbl>
    <w:p w14:paraId="4A648700" w14:textId="10B1E1CD" w:rsidR="000F40A7" w:rsidRDefault="000F40A7" w:rsidP="00CA0F71">
      <w:pPr>
        <w:pStyle w:val="TableParagraph"/>
        <w:tabs>
          <w:tab w:val="left" w:pos="829"/>
        </w:tabs>
        <w:spacing w:line="120" w:lineRule="auto"/>
        <w:ind w:left="0" w:right="879"/>
        <w:rPr>
          <w:b/>
          <w:color w:val="962D91"/>
          <w:sz w:val="28"/>
          <w:szCs w:val="28"/>
        </w:rPr>
      </w:pPr>
    </w:p>
    <w:p w14:paraId="133022CF" w14:textId="77777777" w:rsidR="00CA0F71" w:rsidRDefault="00CA0F71" w:rsidP="00CA0F71">
      <w:pPr>
        <w:pStyle w:val="TableParagraph"/>
        <w:tabs>
          <w:tab w:val="left" w:pos="829"/>
        </w:tabs>
        <w:spacing w:line="120" w:lineRule="auto"/>
        <w:ind w:left="0" w:right="879"/>
        <w:rPr>
          <w:b/>
          <w:color w:val="962D91"/>
          <w:sz w:val="28"/>
          <w:szCs w:val="28"/>
        </w:rPr>
      </w:pPr>
    </w:p>
    <w:tbl>
      <w:tblPr>
        <w:tblStyle w:val="TableGridLight1"/>
        <w:tblW w:w="14454" w:type="dxa"/>
        <w:tblLook w:val="04A0" w:firstRow="1" w:lastRow="0" w:firstColumn="1" w:lastColumn="0" w:noHBand="0" w:noVBand="1"/>
      </w:tblPr>
      <w:tblGrid>
        <w:gridCol w:w="4815"/>
        <w:gridCol w:w="9639"/>
      </w:tblGrid>
      <w:tr w:rsidR="000F40A7" w14:paraId="77825F40" w14:textId="77777777" w:rsidTr="004D5935">
        <w:tc>
          <w:tcPr>
            <w:tcW w:w="14454" w:type="dxa"/>
            <w:gridSpan w:val="2"/>
          </w:tcPr>
          <w:p w14:paraId="7F3D81A8" w14:textId="77777777" w:rsidR="00B05AB7" w:rsidRPr="00BC4FE7" w:rsidRDefault="00B05AB7" w:rsidP="00B05AB7">
            <w:pPr>
              <w:pStyle w:val="LongSubtitle"/>
              <w:rPr>
                <w:b/>
                <w:bCs/>
              </w:rPr>
            </w:pPr>
            <w:r w:rsidRPr="00BC4FE7">
              <w:rPr>
                <w:b/>
                <w:bCs/>
              </w:rPr>
              <w:t>TARGET 3: CONSULTATION ON OPEN ACCESS FOR COCHRANE REVIEWS</w:t>
            </w:r>
          </w:p>
          <w:p w14:paraId="0AAEE63A" w14:textId="77777777" w:rsidR="00BC4FE7" w:rsidRDefault="00BC4FE7" w:rsidP="000F40A7">
            <w:pPr>
              <w:pStyle w:val="BodyText"/>
              <w:rPr>
                <w:rFonts w:asciiTheme="minorHAnsi" w:hAnsiTheme="minorHAnsi"/>
                <w:color w:val="000000" w:themeColor="text1"/>
                <w:szCs w:val="20"/>
              </w:rPr>
            </w:pPr>
          </w:p>
          <w:p w14:paraId="2946B64C" w14:textId="234434EB" w:rsidR="000F40A7" w:rsidRPr="00381DF9" w:rsidRDefault="000F40A7" w:rsidP="000F40A7">
            <w:pPr>
              <w:pStyle w:val="BodyText"/>
              <w:rPr>
                <w:rFonts w:asciiTheme="minorHAnsi" w:hAnsiTheme="minorHAnsi"/>
                <w:sz w:val="22"/>
              </w:rPr>
            </w:pPr>
            <w:r w:rsidRPr="00381DF9">
              <w:rPr>
                <w:rFonts w:asciiTheme="minorHAnsi" w:hAnsiTheme="minorHAnsi"/>
                <w:color w:val="000000" w:themeColor="text1"/>
                <w:sz w:val="22"/>
              </w:rPr>
              <w:t>In 2020</w:t>
            </w:r>
            <w:r w:rsidR="00667C8E" w:rsidRPr="00381DF9">
              <w:rPr>
                <w:rFonts w:asciiTheme="minorHAnsi" w:hAnsiTheme="minorHAnsi"/>
                <w:color w:val="000000" w:themeColor="text1"/>
                <w:sz w:val="22"/>
              </w:rPr>
              <w:t xml:space="preserve"> there will be </w:t>
            </w:r>
            <w:r w:rsidRPr="00381DF9">
              <w:rPr>
                <w:rFonts w:asciiTheme="minorHAnsi" w:hAnsiTheme="minorHAnsi"/>
                <w:color w:val="000000" w:themeColor="text1"/>
                <w:sz w:val="22"/>
              </w:rPr>
              <w:t>a consultation with external and internal stakeholders to achieve a</w:t>
            </w:r>
            <w:r w:rsidRPr="00381DF9">
              <w:rPr>
                <w:rFonts w:asciiTheme="minorHAnsi" w:hAnsiTheme="minorHAnsi"/>
                <w:sz w:val="22"/>
              </w:rPr>
              <w:t xml:space="preserve"> common understanding of the challenges and opportunities for Cochrane in delivering universal, immediate Open Access to Cochrane Reviews whilst continuing to ensure organizational financial sustainability. </w:t>
            </w:r>
            <w:r w:rsidR="007C63F3" w:rsidRPr="00381DF9">
              <w:rPr>
                <w:rFonts w:asciiTheme="minorHAnsi" w:hAnsiTheme="minorHAnsi"/>
                <w:sz w:val="22"/>
              </w:rPr>
              <w:t xml:space="preserve"> The outputs of the consultation will directly inform</w:t>
            </w:r>
            <w:r w:rsidR="00A74CE1" w:rsidRPr="00381DF9">
              <w:rPr>
                <w:rFonts w:asciiTheme="minorHAnsi" w:hAnsiTheme="minorHAnsi"/>
                <w:sz w:val="22"/>
              </w:rPr>
              <w:t xml:space="preserve"> any future </w:t>
            </w:r>
            <w:r w:rsidR="00667C8E" w:rsidRPr="00381DF9">
              <w:rPr>
                <w:rFonts w:asciiTheme="minorHAnsi" w:hAnsiTheme="minorHAnsi"/>
                <w:sz w:val="22"/>
              </w:rPr>
              <w:t xml:space="preserve">revisions to existing policy. </w:t>
            </w:r>
          </w:p>
          <w:p w14:paraId="55F6C8CE" w14:textId="77777777" w:rsidR="000F40A7" w:rsidRPr="00310499" w:rsidRDefault="000F40A7" w:rsidP="00310499">
            <w:pPr>
              <w:pStyle w:val="TableParagraph"/>
              <w:tabs>
                <w:tab w:val="left" w:pos="829"/>
              </w:tabs>
              <w:ind w:left="0" w:right="879"/>
              <w:rPr>
                <w:b/>
                <w:color w:val="962D91"/>
              </w:rPr>
            </w:pPr>
          </w:p>
        </w:tc>
      </w:tr>
      <w:tr w:rsidR="000F40A7" w14:paraId="13303300" w14:textId="77777777" w:rsidTr="004D5935">
        <w:tc>
          <w:tcPr>
            <w:tcW w:w="4815" w:type="dxa"/>
            <w:shd w:val="clear" w:color="auto" w:fill="F0CEEE" w:themeFill="background2" w:themeFillTint="33"/>
          </w:tcPr>
          <w:p w14:paraId="726741C0" w14:textId="77777777" w:rsidR="000F40A7" w:rsidRPr="004D5935" w:rsidRDefault="000F40A7" w:rsidP="000F40A7">
            <w:pPr>
              <w:pStyle w:val="BodyText"/>
              <w:rPr>
                <w:rFonts w:asciiTheme="minorHAnsi" w:hAnsiTheme="minorHAnsi"/>
              </w:rPr>
            </w:pPr>
            <w:r w:rsidRPr="004D5935">
              <w:rPr>
                <w:rFonts w:asciiTheme="minorHAnsi" w:hAnsiTheme="minorHAnsi"/>
              </w:rPr>
              <w:t>Contributes to Strategy to 2020 Objective(s):</w:t>
            </w:r>
          </w:p>
          <w:p w14:paraId="5F8D00FA" w14:textId="77777777" w:rsidR="000F40A7" w:rsidRPr="004D5935" w:rsidRDefault="000F40A7" w:rsidP="000F40A7">
            <w:pPr>
              <w:pStyle w:val="BodyText"/>
              <w:rPr>
                <w:rFonts w:asciiTheme="minorHAnsi" w:hAnsiTheme="minorHAnsi"/>
              </w:rPr>
            </w:pPr>
          </w:p>
        </w:tc>
        <w:tc>
          <w:tcPr>
            <w:tcW w:w="9639" w:type="dxa"/>
          </w:tcPr>
          <w:p w14:paraId="76745D00" w14:textId="77777777" w:rsidR="00306805" w:rsidRPr="00306805" w:rsidRDefault="000F40A7" w:rsidP="000F40A7">
            <w:pPr>
              <w:pStyle w:val="BodyText"/>
              <w:rPr>
                <w:b/>
              </w:rPr>
            </w:pPr>
            <w:r w:rsidRPr="00306805">
              <w:rPr>
                <w:b/>
              </w:rPr>
              <w:t>2.4. OPEN ACCESS:</w:t>
            </w:r>
          </w:p>
          <w:p w14:paraId="362D0489" w14:textId="2CEF614C" w:rsidR="000F40A7" w:rsidRPr="000F40A7" w:rsidRDefault="000F40A7" w:rsidP="000F40A7">
            <w:pPr>
              <w:pStyle w:val="BodyText"/>
            </w:pPr>
            <w:r w:rsidRPr="000F40A7">
              <w:t>We will achieve universal open access to Cochrane Systematic Reviews immediately upon publication for both new and updated reviews and the archive of existing published reviews.</w:t>
            </w:r>
          </w:p>
          <w:p w14:paraId="3F6B51DC" w14:textId="77777777" w:rsidR="000F40A7" w:rsidRPr="000F40A7" w:rsidRDefault="000F40A7" w:rsidP="000F40A7">
            <w:pPr>
              <w:pStyle w:val="BodyText"/>
            </w:pPr>
          </w:p>
        </w:tc>
      </w:tr>
      <w:tr w:rsidR="000F40A7" w14:paraId="40129D93" w14:textId="77777777" w:rsidTr="004D5935">
        <w:tc>
          <w:tcPr>
            <w:tcW w:w="4815" w:type="dxa"/>
            <w:shd w:val="clear" w:color="auto" w:fill="F0CEEE" w:themeFill="background2" w:themeFillTint="33"/>
          </w:tcPr>
          <w:p w14:paraId="3B2144D1" w14:textId="67951494" w:rsidR="000F40A7" w:rsidRPr="004D5935" w:rsidRDefault="000F40A7" w:rsidP="000F40A7">
            <w:pPr>
              <w:pStyle w:val="BodyText"/>
              <w:rPr>
                <w:rFonts w:asciiTheme="minorHAnsi" w:hAnsiTheme="minorHAnsi"/>
              </w:rPr>
            </w:pPr>
            <w:r w:rsidRPr="004D5935">
              <w:rPr>
                <w:rFonts w:asciiTheme="minorHAnsi" w:hAnsiTheme="minorHAnsi"/>
              </w:rPr>
              <w:t>Background</w:t>
            </w:r>
          </w:p>
        </w:tc>
        <w:tc>
          <w:tcPr>
            <w:tcW w:w="9639" w:type="dxa"/>
          </w:tcPr>
          <w:p w14:paraId="618DB272" w14:textId="148243CA" w:rsidR="00313F39" w:rsidRDefault="00313F39" w:rsidP="00313F39">
            <w:pPr>
              <w:pStyle w:val="BodyText"/>
            </w:pPr>
            <w:r>
              <w:t xml:space="preserve">Since February 2013 Cochrane has: </w:t>
            </w:r>
          </w:p>
          <w:p w14:paraId="1403B654" w14:textId="77777777" w:rsidR="00313F39" w:rsidRDefault="00313F39" w:rsidP="00BC4FE7">
            <w:pPr>
              <w:pStyle w:val="BodyText"/>
              <w:spacing w:line="120" w:lineRule="auto"/>
            </w:pPr>
          </w:p>
          <w:p w14:paraId="6D76721B" w14:textId="784F8CF0" w:rsidR="00313F39" w:rsidRDefault="00313F39" w:rsidP="00317D13">
            <w:pPr>
              <w:pStyle w:val="BodyText"/>
              <w:numPr>
                <w:ilvl w:val="0"/>
                <w:numId w:val="2"/>
              </w:numPr>
            </w:pPr>
            <w:r>
              <w:t xml:space="preserve">Provided free access to new and updated Cochrane Reviews for all readers worldwide 12 months after publication, under our ‘green’ Open Access scheme. Over </w:t>
            </w:r>
            <w:r w:rsidR="007234F4">
              <w:t>65%</w:t>
            </w:r>
            <w:r>
              <w:t xml:space="preserve"> of all Cochrane Reviews are now available this way.</w:t>
            </w:r>
          </w:p>
          <w:p w14:paraId="74045B7C" w14:textId="3FBC4DFE" w:rsidR="00313F39" w:rsidRDefault="00313F39" w:rsidP="00317D13">
            <w:pPr>
              <w:pStyle w:val="BodyText"/>
              <w:numPr>
                <w:ilvl w:val="0"/>
                <w:numId w:val="2"/>
              </w:numPr>
            </w:pPr>
            <w:r>
              <w:t>Deposited all Cochrane Reviews in PubMed Central for open access publication 12 months after publication (started September 2016).</w:t>
            </w:r>
          </w:p>
          <w:p w14:paraId="3E7F5774" w14:textId="77777777" w:rsidR="00313F39" w:rsidRDefault="00313F39" w:rsidP="00317D13">
            <w:pPr>
              <w:pStyle w:val="BodyText"/>
              <w:numPr>
                <w:ilvl w:val="0"/>
                <w:numId w:val="2"/>
              </w:numPr>
            </w:pPr>
            <w:r>
              <w:t>Made all Cochrane Review protocols freely available on publication (since February 2016).</w:t>
            </w:r>
          </w:p>
          <w:p w14:paraId="5656DEE1" w14:textId="7C7EC499" w:rsidR="00313F39" w:rsidRDefault="00313F39" w:rsidP="00317D13">
            <w:pPr>
              <w:pStyle w:val="BodyText"/>
              <w:numPr>
                <w:ilvl w:val="0"/>
                <w:numId w:val="2"/>
              </w:numPr>
            </w:pPr>
            <w:r>
              <w:t>Provided Cochrane author teams with the option to pay an Article Publication Charge in order to make their new and updated reviews freely available worldwide on publication, and to take up other benefits of a Creative Commons licence, via a ‘gold’ Open Access option.</w:t>
            </w:r>
          </w:p>
          <w:p w14:paraId="26490BD5" w14:textId="74BAEE89" w:rsidR="00BC4FE7" w:rsidRDefault="00BC4FE7" w:rsidP="00317D13">
            <w:pPr>
              <w:pStyle w:val="BodyText"/>
              <w:numPr>
                <w:ilvl w:val="0"/>
                <w:numId w:val="2"/>
              </w:numPr>
            </w:pPr>
            <w:r>
              <w:t>Provided free one-click access to all Cochrane Reviews for over 3.66 billion people living in Low- and Middle-Income Countries.</w:t>
            </w:r>
          </w:p>
          <w:p w14:paraId="5DB143A4" w14:textId="77777777" w:rsidR="00313F39" w:rsidRDefault="00313F39" w:rsidP="00313F39">
            <w:pPr>
              <w:pStyle w:val="BodyText"/>
            </w:pPr>
          </w:p>
          <w:p w14:paraId="0659DA26" w14:textId="463D9800" w:rsidR="00313F39" w:rsidRPr="000F40A7" w:rsidRDefault="00313F39" w:rsidP="000F40A7">
            <w:pPr>
              <w:pStyle w:val="BodyText"/>
            </w:pPr>
            <w:r>
              <w:t xml:space="preserve">In November 2018 the Governing Board decided to continue these policies under the post-2020 publishing arrangements, but to postpone implementation of the target set out in </w:t>
            </w:r>
            <w:r w:rsidRPr="00313F39">
              <w:rPr>
                <w:i/>
              </w:rPr>
              <w:t>Strategy to 2020</w:t>
            </w:r>
            <w:r>
              <w:t xml:space="preserve"> to make all Cochrane </w:t>
            </w:r>
            <w:r>
              <w:lastRenderedPageBreak/>
              <w:t xml:space="preserve">Reviews open access ‘immediately upon publication’. The Board reiterated that this remains Cochrane’s long-term ambition, but it will be implemented only when the Governing Board </w:t>
            </w:r>
            <w:r w:rsidR="00BC4FE7">
              <w:t>is</w:t>
            </w:r>
            <w:r>
              <w:t xml:space="preserve"> confident that it will not undermine Cochrane’s future sustainability and, therefore, its ability to meet other strategic goals.</w:t>
            </w:r>
          </w:p>
        </w:tc>
      </w:tr>
      <w:tr w:rsidR="000F40A7" w14:paraId="421CC10A" w14:textId="77777777" w:rsidTr="004D5935">
        <w:tc>
          <w:tcPr>
            <w:tcW w:w="4815" w:type="dxa"/>
            <w:shd w:val="clear" w:color="auto" w:fill="F0CEEE" w:themeFill="background2" w:themeFillTint="33"/>
          </w:tcPr>
          <w:p w14:paraId="2533EBF7" w14:textId="0C59BF23" w:rsidR="000F40A7" w:rsidRPr="004D5935" w:rsidRDefault="000F40A7" w:rsidP="000F40A7">
            <w:pPr>
              <w:pStyle w:val="BodyText"/>
              <w:rPr>
                <w:rFonts w:asciiTheme="minorHAnsi" w:hAnsiTheme="minorHAnsi"/>
              </w:rPr>
            </w:pPr>
            <w:r w:rsidRPr="004D5935">
              <w:rPr>
                <w:rFonts w:asciiTheme="minorHAnsi" w:hAnsiTheme="minorHAnsi"/>
              </w:rPr>
              <w:lastRenderedPageBreak/>
              <w:t>Rationale</w:t>
            </w:r>
            <w:r w:rsidR="007234F4" w:rsidRPr="004D5935">
              <w:rPr>
                <w:rFonts w:asciiTheme="minorHAnsi" w:hAnsiTheme="minorHAnsi"/>
              </w:rPr>
              <w:t xml:space="preserve"> for the Target in 2020: </w:t>
            </w:r>
          </w:p>
        </w:tc>
        <w:tc>
          <w:tcPr>
            <w:tcW w:w="9639" w:type="dxa"/>
          </w:tcPr>
          <w:p w14:paraId="5C0AF0E1" w14:textId="0DD5C793" w:rsidR="000F40A7" w:rsidRDefault="00287DB4" w:rsidP="00317D13">
            <w:pPr>
              <w:pStyle w:val="BodyText"/>
              <w:numPr>
                <w:ilvl w:val="0"/>
                <w:numId w:val="3"/>
              </w:numPr>
            </w:pPr>
            <w:r>
              <w:t xml:space="preserve">Cochrane needs to remain responsive to the wider </w:t>
            </w:r>
            <w:r w:rsidR="00BC4FE7">
              <w:t>scientific</w:t>
            </w:r>
            <w:r>
              <w:t xml:space="preserve"> publishing</w:t>
            </w:r>
            <w:r w:rsidR="00BC4FE7">
              <w:t xml:space="preserve"> environment and trends. </w:t>
            </w:r>
          </w:p>
          <w:p w14:paraId="4FE67392" w14:textId="7A6C73AF" w:rsidR="00313F39" w:rsidRDefault="00287DB4" w:rsidP="00317D13">
            <w:pPr>
              <w:pStyle w:val="BodyText"/>
              <w:numPr>
                <w:ilvl w:val="0"/>
                <w:numId w:val="3"/>
              </w:numPr>
            </w:pPr>
            <w:r>
              <w:t>In 2020 Cochrane will announce new publishing arrangements for the Cochrane Library from 2021</w:t>
            </w:r>
            <w:r w:rsidR="00BC4FE7">
              <w:t>;</w:t>
            </w:r>
            <w:r>
              <w:t xml:space="preserve"> and it</w:t>
            </w:r>
            <w:r w:rsidR="00BC4FE7">
              <w:t xml:space="preserve"> i</w:t>
            </w:r>
            <w:r>
              <w:t>s therefore the right time to evaluate our Open Access options.</w:t>
            </w:r>
          </w:p>
          <w:p w14:paraId="59D6372C" w14:textId="007C2811" w:rsidR="00A74CE1" w:rsidRDefault="00287DB4" w:rsidP="00A74CE1">
            <w:pPr>
              <w:pStyle w:val="BodyText"/>
              <w:numPr>
                <w:ilvl w:val="0"/>
                <w:numId w:val="3"/>
              </w:numPr>
            </w:pPr>
            <w:r>
              <w:t xml:space="preserve">Cochrane has multiple stakeholders </w:t>
            </w:r>
            <w:r w:rsidR="00BC4FE7">
              <w:t>interested in</w:t>
            </w:r>
            <w:r>
              <w:t xml:space="preserve"> Open Access, including Group funders, review authors, and Library licence purchasers. </w:t>
            </w:r>
            <w:r w:rsidR="00667C8E">
              <w:t>The e</w:t>
            </w:r>
            <w:r>
              <w:t xml:space="preserve">xpectations and requirements </w:t>
            </w:r>
            <w:r w:rsidR="00667C8E">
              <w:t>of</w:t>
            </w:r>
            <w:r>
              <w:t xml:space="preserve"> these stakeholders vary. Consulting with these groups, educating them on the context in which Cochrane operates, and using their expertise to explore possible options will be key to developing a sustainable Open Access position</w:t>
            </w:r>
            <w:r w:rsidR="00A74CE1">
              <w:t xml:space="preserve"> and funding model.</w:t>
            </w:r>
          </w:p>
          <w:p w14:paraId="53F03B38" w14:textId="56EC8387" w:rsidR="00313F39" w:rsidRPr="000F40A7" w:rsidRDefault="00313F39" w:rsidP="000F40A7">
            <w:pPr>
              <w:pStyle w:val="BodyText"/>
            </w:pPr>
          </w:p>
        </w:tc>
      </w:tr>
      <w:tr w:rsidR="000F40A7" w14:paraId="63C55B40" w14:textId="77777777" w:rsidTr="004D5935">
        <w:tc>
          <w:tcPr>
            <w:tcW w:w="4815" w:type="dxa"/>
            <w:shd w:val="clear" w:color="auto" w:fill="F0CEEE" w:themeFill="background2" w:themeFillTint="33"/>
          </w:tcPr>
          <w:p w14:paraId="64267379" w14:textId="5D43563E" w:rsidR="000F40A7" w:rsidRPr="004D5935" w:rsidRDefault="000F40A7" w:rsidP="000F40A7">
            <w:pPr>
              <w:pStyle w:val="BodyText"/>
              <w:rPr>
                <w:rFonts w:asciiTheme="minorHAnsi" w:hAnsiTheme="minorHAnsi"/>
              </w:rPr>
            </w:pPr>
            <w:r w:rsidRPr="004D5935">
              <w:rPr>
                <w:rFonts w:asciiTheme="minorHAnsi" w:hAnsiTheme="minorHAnsi"/>
              </w:rPr>
              <w:t>Desired outcomes</w:t>
            </w:r>
          </w:p>
        </w:tc>
        <w:tc>
          <w:tcPr>
            <w:tcW w:w="9639" w:type="dxa"/>
          </w:tcPr>
          <w:p w14:paraId="3EC4CCF5" w14:textId="02D3438C" w:rsidR="008B10A3" w:rsidRPr="00667C8E" w:rsidRDefault="008B10A3" w:rsidP="00317D13">
            <w:pPr>
              <w:pStyle w:val="BodyText"/>
              <w:numPr>
                <w:ilvl w:val="0"/>
                <w:numId w:val="4"/>
              </w:numPr>
              <w:ind w:left="736" w:hanging="425"/>
            </w:pPr>
            <w:r>
              <w:t>An enhanced understanding</w:t>
            </w:r>
            <w:r w:rsidR="007C63F3">
              <w:t xml:space="preserve"> by our stakeholders</w:t>
            </w:r>
            <w:r>
              <w:t xml:space="preserve"> of the complexities </w:t>
            </w:r>
            <w:r w:rsidR="00DB7134">
              <w:t xml:space="preserve">and constraints </w:t>
            </w:r>
            <w:r>
              <w:t xml:space="preserve">of Open Access for </w:t>
            </w:r>
            <w:r w:rsidR="00DB7134" w:rsidRPr="00667C8E">
              <w:t>Cochrane.</w:t>
            </w:r>
          </w:p>
          <w:p w14:paraId="1EF7BB4E" w14:textId="36099AA5" w:rsidR="008B10A3" w:rsidRDefault="00667C8E" w:rsidP="00317D13">
            <w:pPr>
              <w:pStyle w:val="BodyText"/>
              <w:numPr>
                <w:ilvl w:val="0"/>
                <w:numId w:val="4"/>
              </w:numPr>
              <w:ind w:left="736" w:hanging="425"/>
            </w:pPr>
            <w:r>
              <w:t>S</w:t>
            </w:r>
            <w:r w:rsidR="008B10A3" w:rsidRPr="00667C8E">
              <w:t xml:space="preserve">takeholder position </w:t>
            </w:r>
            <w:r w:rsidR="004D5935" w:rsidRPr="00667C8E">
              <w:t>statement</w:t>
            </w:r>
            <w:r w:rsidR="004D5935">
              <w:t>s</w:t>
            </w:r>
            <w:r w:rsidR="007C63F3" w:rsidRPr="00667C8E">
              <w:t xml:space="preserve"> can</w:t>
            </w:r>
            <w:r w:rsidR="00DB7134" w:rsidRPr="00667C8E">
              <w:t xml:space="preserve"> inform</w:t>
            </w:r>
            <w:r w:rsidR="00BC4FE7">
              <w:t xml:space="preserve"> any</w:t>
            </w:r>
            <w:r w:rsidR="00DB7134" w:rsidRPr="00667C8E">
              <w:t xml:space="preserve"> </w:t>
            </w:r>
            <w:r>
              <w:t>c</w:t>
            </w:r>
            <w:r w:rsidR="00DB7134" w:rsidRPr="00667C8E">
              <w:t xml:space="preserve">hanges to Cochrane’s current Open Access </w:t>
            </w:r>
            <w:r>
              <w:t>policy</w:t>
            </w:r>
            <w:r w:rsidR="00DB7134" w:rsidRPr="00667C8E">
              <w:t xml:space="preserve"> and </w:t>
            </w:r>
            <w:r>
              <w:t xml:space="preserve">provide </w:t>
            </w:r>
            <w:r w:rsidR="00DB7134" w:rsidRPr="00667C8E">
              <w:t>more clarity on the transition process</w:t>
            </w:r>
            <w:r w:rsidR="00DB7134">
              <w:t xml:space="preserve"> from one model to the next.  </w:t>
            </w:r>
          </w:p>
          <w:p w14:paraId="20D9732F" w14:textId="11083962" w:rsidR="008B10A3" w:rsidRDefault="008B10A3" w:rsidP="00317D13">
            <w:pPr>
              <w:pStyle w:val="BodyText"/>
              <w:numPr>
                <w:ilvl w:val="0"/>
                <w:numId w:val="4"/>
              </w:numPr>
              <w:ind w:left="736" w:hanging="425"/>
            </w:pPr>
            <w:r>
              <w:t>Better transparency about the organization’s costs and how funds are spen</w:t>
            </w:r>
            <w:r w:rsidR="00667C8E">
              <w:t>t is achieved.</w:t>
            </w:r>
          </w:p>
          <w:p w14:paraId="7C389771" w14:textId="0B749C95" w:rsidR="00667C8E" w:rsidRDefault="00667C8E" w:rsidP="00317D13">
            <w:pPr>
              <w:pStyle w:val="BodyText"/>
              <w:numPr>
                <w:ilvl w:val="0"/>
                <w:numId w:val="4"/>
              </w:numPr>
              <w:ind w:left="736" w:hanging="425"/>
            </w:pPr>
            <w:r>
              <w:t>Improved</w:t>
            </w:r>
            <w:r w:rsidR="008B10A3">
              <w:t xml:space="preserve"> relationships with funders and partners</w:t>
            </w:r>
            <w:r>
              <w:t xml:space="preserve"> are achieved. </w:t>
            </w:r>
          </w:p>
          <w:p w14:paraId="3228D6CE" w14:textId="29AAC7EF" w:rsidR="00287DB4" w:rsidRPr="000F40A7" w:rsidRDefault="00287DB4" w:rsidP="000F40A7">
            <w:pPr>
              <w:pStyle w:val="BodyText"/>
            </w:pPr>
          </w:p>
        </w:tc>
      </w:tr>
      <w:tr w:rsidR="000F40A7" w14:paraId="433C0AC4" w14:textId="77777777" w:rsidTr="004D5935">
        <w:tc>
          <w:tcPr>
            <w:tcW w:w="4815" w:type="dxa"/>
            <w:shd w:val="clear" w:color="auto" w:fill="F0CEEE" w:themeFill="background2" w:themeFillTint="33"/>
          </w:tcPr>
          <w:p w14:paraId="254A8BDB" w14:textId="7B50789D" w:rsidR="000F40A7" w:rsidRPr="004D5935" w:rsidRDefault="000F40A7" w:rsidP="000F40A7">
            <w:pPr>
              <w:pStyle w:val="BodyText"/>
              <w:rPr>
                <w:rFonts w:asciiTheme="minorHAnsi" w:hAnsiTheme="minorHAnsi"/>
              </w:rPr>
            </w:pPr>
            <w:r w:rsidRPr="004D5935">
              <w:rPr>
                <w:rFonts w:asciiTheme="minorHAnsi" w:hAnsiTheme="minorHAnsi"/>
              </w:rPr>
              <w:t>Planned outputs by the end of 2020</w:t>
            </w:r>
          </w:p>
        </w:tc>
        <w:tc>
          <w:tcPr>
            <w:tcW w:w="9639" w:type="dxa"/>
          </w:tcPr>
          <w:p w14:paraId="22E49B14" w14:textId="5DE90CF2" w:rsidR="00667C8E" w:rsidRDefault="00B27993" w:rsidP="00317D13">
            <w:pPr>
              <w:pStyle w:val="BodyText"/>
              <w:numPr>
                <w:ilvl w:val="0"/>
                <w:numId w:val="10"/>
              </w:numPr>
            </w:pPr>
            <w:r>
              <w:t>A de</w:t>
            </w:r>
            <w:r w:rsidR="00B05AB7">
              <w:t xml:space="preserve">tailed stakeholder map and analysis </w:t>
            </w:r>
            <w:r w:rsidR="00667C8E">
              <w:t>is developed</w:t>
            </w:r>
          </w:p>
          <w:p w14:paraId="50A284C4" w14:textId="6CF349B7" w:rsidR="00A74CE1" w:rsidRDefault="00A74CE1" w:rsidP="00A74CE1">
            <w:pPr>
              <w:pStyle w:val="BodyText"/>
              <w:numPr>
                <w:ilvl w:val="0"/>
                <w:numId w:val="10"/>
              </w:numPr>
            </w:pPr>
            <w:r>
              <w:t>An Open Access and Open Data discussion framework is developed</w:t>
            </w:r>
          </w:p>
          <w:p w14:paraId="02DC86C1" w14:textId="29C203DB" w:rsidR="00B05AB7" w:rsidRDefault="00667C8E" w:rsidP="00317D13">
            <w:pPr>
              <w:pStyle w:val="BodyText"/>
              <w:numPr>
                <w:ilvl w:val="0"/>
                <w:numId w:val="10"/>
              </w:numPr>
            </w:pPr>
            <w:r>
              <w:t>Cochrane’s cost base is clarified and communicated better</w:t>
            </w:r>
          </w:p>
          <w:p w14:paraId="131ABC1B" w14:textId="6FEC2DD0" w:rsidR="00667C8E" w:rsidRDefault="00667C8E" w:rsidP="00317D13">
            <w:pPr>
              <w:pStyle w:val="BodyText"/>
              <w:numPr>
                <w:ilvl w:val="0"/>
                <w:numId w:val="10"/>
              </w:numPr>
            </w:pPr>
            <w:r>
              <w:t>A strategic session at the Governance Meetings in Manchester</w:t>
            </w:r>
            <w:r w:rsidR="004D5935">
              <w:t>, April 20202,</w:t>
            </w:r>
            <w:r>
              <w:t xml:space="preserve"> is held to consult with internal stakeholders </w:t>
            </w:r>
          </w:p>
          <w:p w14:paraId="394C9372" w14:textId="08469949" w:rsidR="00667C8E" w:rsidRDefault="00667C8E" w:rsidP="00317D13">
            <w:pPr>
              <w:pStyle w:val="BodyText"/>
              <w:numPr>
                <w:ilvl w:val="0"/>
                <w:numId w:val="10"/>
              </w:numPr>
            </w:pPr>
            <w:r>
              <w:t>An ‘Open Access summit’ is held at the Toronto Colloquium to consult with external stakeholders</w:t>
            </w:r>
          </w:p>
          <w:p w14:paraId="5FE5E5C8" w14:textId="77777777" w:rsidR="00DB7134" w:rsidRDefault="00667C8E" w:rsidP="00317D13">
            <w:pPr>
              <w:pStyle w:val="BodyText"/>
              <w:numPr>
                <w:ilvl w:val="0"/>
                <w:numId w:val="10"/>
              </w:numPr>
            </w:pPr>
            <w:r>
              <w:t xml:space="preserve">A consultation summary, with stakeholder </w:t>
            </w:r>
            <w:r w:rsidR="00B27993">
              <w:t>position statements, is published</w:t>
            </w:r>
          </w:p>
          <w:p w14:paraId="37E40FB9" w14:textId="1B427742" w:rsidR="00310499" w:rsidRPr="000F40A7" w:rsidRDefault="00310499" w:rsidP="00310499">
            <w:pPr>
              <w:pStyle w:val="BodyText"/>
              <w:ind w:left="720"/>
            </w:pPr>
          </w:p>
        </w:tc>
      </w:tr>
    </w:tbl>
    <w:p w14:paraId="5EC81946" w14:textId="3D7E76FC" w:rsidR="00B05AB7" w:rsidRDefault="00B05AB7" w:rsidP="00490C65">
      <w:pPr>
        <w:pStyle w:val="TableParagraph"/>
        <w:tabs>
          <w:tab w:val="left" w:pos="829"/>
        </w:tabs>
        <w:ind w:left="0" w:right="879"/>
        <w:rPr>
          <w:b/>
          <w:color w:val="962D91"/>
          <w:sz w:val="28"/>
          <w:szCs w:val="28"/>
        </w:rPr>
      </w:pPr>
    </w:p>
    <w:tbl>
      <w:tblPr>
        <w:tblStyle w:val="TableGridLight1"/>
        <w:tblW w:w="14454" w:type="dxa"/>
        <w:tblLook w:val="04A0" w:firstRow="1" w:lastRow="0" w:firstColumn="1" w:lastColumn="0" w:noHBand="0" w:noVBand="1"/>
      </w:tblPr>
      <w:tblGrid>
        <w:gridCol w:w="4815"/>
        <w:gridCol w:w="9639"/>
      </w:tblGrid>
      <w:tr w:rsidR="007D527F" w14:paraId="154D73F5" w14:textId="77777777" w:rsidTr="008C3A41">
        <w:tc>
          <w:tcPr>
            <w:tcW w:w="14454" w:type="dxa"/>
            <w:gridSpan w:val="2"/>
          </w:tcPr>
          <w:p w14:paraId="19F9E865" w14:textId="77777777" w:rsidR="007D527F" w:rsidRPr="00CA0F71" w:rsidRDefault="007D527F" w:rsidP="007D527F">
            <w:pPr>
              <w:pStyle w:val="LongSubtitle"/>
              <w:spacing w:line="240" w:lineRule="auto"/>
              <w:rPr>
                <w:b/>
                <w:bCs/>
              </w:rPr>
            </w:pPr>
            <w:r w:rsidRPr="00CA0F71">
              <w:rPr>
                <w:b/>
                <w:bCs/>
              </w:rPr>
              <w:t xml:space="preserve">TARGET 4: IMPROVING QUALITY, CONSISTENCY AND TRANSLATABILITY OF COCHRANE’S PLAIN LANGUAGE SUMMARIES </w:t>
            </w:r>
          </w:p>
          <w:p w14:paraId="6E9F2FA1" w14:textId="77777777" w:rsidR="00CA0F71" w:rsidRDefault="00CA0F71" w:rsidP="007D527F">
            <w:pPr>
              <w:pStyle w:val="Table"/>
              <w:spacing w:after="0"/>
              <w:rPr>
                <w:sz w:val="20"/>
              </w:rPr>
            </w:pPr>
          </w:p>
          <w:p w14:paraId="206603B5" w14:textId="61946855" w:rsidR="007D527F" w:rsidRPr="00381DF9" w:rsidRDefault="007D527F" w:rsidP="007D527F">
            <w:pPr>
              <w:pStyle w:val="Table"/>
              <w:spacing w:after="0"/>
              <w:rPr>
                <w:sz w:val="22"/>
                <w:szCs w:val="22"/>
              </w:rPr>
            </w:pPr>
            <w:r w:rsidRPr="00381DF9">
              <w:rPr>
                <w:sz w:val="22"/>
                <w:szCs w:val="22"/>
              </w:rPr>
              <w:t xml:space="preserve">Plain Language Summaries (PLSs) are a key dissemination product created and published for every Cochrane Review. Along with the Review Abstract, they are often: 1) the first - or only - contact potential health decision-makers will have with Cochrane as an organization; and 2) the main way health decision-makers will access and gain understanding of a Cochrane Review. They are also the one product that is most frequently translated into other </w:t>
            </w:r>
            <w:r w:rsidRPr="00381DF9">
              <w:rPr>
                <w:sz w:val="22"/>
                <w:szCs w:val="22"/>
              </w:rPr>
              <w:lastRenderedPageBreak/>
              <w:t xml:space="preserve">languages. This project aims to determine a new approach and format that simplifies and standardizes Cochrane’s PLSs to improve </w:t>
            </w:r>
            <w:r w:rsidR="00CA0F71" w:rsidRPr="00381DF9">
              <w:rPr>
                <w:sz w:val="22"/>
                <w:szCs w:val="22"/>
              </w:rPr>
              <w:t>the r</w:t>
            </w:r>
            <w:r w:rsidRPr="00381DF9">
              <w:rPr>
                <w:sz w:val="22"/>
                <w:szCs w:val="22"/>
              </w:rPr>
              <w:t>eadability and understandability of Cochrane evidence.</w:t>
            </w:r>
          </w:p>
          <w:p w14:paraId="23552A88" w14:textId="0EF321D8" w:rsidR="007D527F" w:rsidRPr="00310499" w:rsidRDefault="007D527F" w:rsidP="007D527F">
            <w:pPr>
              <w:pStyle w:val="Table"/>
              <w:spacing w:after="0"/>
              <w:rPr>
                <w:b/>
                <w:color w:val="962D91"/>
                <w:sz w:val="22"/>
                <w:szCs w:val="22"/>
              </w:rPr>
            </w:pPr>
          </w:p>
        </w:tc>
      </w:tr>
      <w:tr w:rsidR="007D527F" w:rsidRPr="000F40A7" w14:paraId="5DD5603E" w14:textId="77777777" w:rsidTr="008C3A41">
        <w:tc>
          <w:tcPr>
            <w:tcW w:w="4815" w:type="dxa"/>
            <w:shd w:val="clear" w:color="auto" w:fill="F0CEEE" w:themeFill="background2" w:themeFillTint="33"/>
          </w:tcPr>
          <w:p w14:paraId="57663B98" w14:textId="77777777" w:rsidR="007D527F" w:rsidRPr="004D5935" w:rsidRDefault="007D527F" w:rsidP="007D527F">
            <w:pPr>
              <w:pStyle w:val="BodyText"/>
              <w:rPr>
                <w:rFonts w:asciiTheme="minorHAnsi" w:hAnsiTheme="minorHAnsi"/>
              </w:rPr>
            </w:pPr>
            <w:r w:rsidRPr="004D5935">
              <w:rPr>
                <w:rFonts w:asciiTheme="minorHAnsi" w:hAnsiTheme="minorHAnsi"/>
              </w:rPr>
              <w:lastRenderedPageBreak/>
              <w:t xml:space="preserve">Contributes to </w:t>
            </w:r>
            <w:r w:rsidRPr="004D5935">
              <w:rPr>
                <w:rFonts w:asciiTheme="minorHAnsi" w:hAnsiTheme="minorHAnsi"/>
                <w:i/>
              </w:rPr>
              <w:t>Strategy to 2020</w:t>
            </w:r>
            <w:r w:rsidRPr="004D5935">
              <w:rPr>
                <w:rFonts w:asciiTheme="minorHAnsi" w:hAnsiTheme="minorHAnsi"/>
              </w:rPr>
              <w:t xml:space="preserve"> Objective(s):</w:t>
            </w:r>
          </w:p>
          <w:p w14:paraId="08091BE6" w14:textId="77777777" w:rsidR="007D527F" w:rsidRPr="004D5935" w:rsidRDefault="007D527F" w:rsidP="007D527F">
            <w:pPr>
              <w:pStyle w:val="BodyText"/>
              <w:rPr>
                <w:rFonts w:asciiTheme="minorHAnsi" w:hAnsiTheme="minorHAnsi"/>
              </w:rPr>
            </w:pPr>
          </w:p>
        </w:tc>
        <w:tc>
          <w:tcPr>
            <w:tcW w:w="9639" w:type="dxa"/>
          </w:tcPr>
          <w:p w14:paraId="60800CB0" w14:textId="77777777" w:rsidR="007D527F" w:rsidRDefault="007D527F" w:rsidP="007D527F">
            <w:pPr>
              <w:pStyle w:val="BodyText"/>
              <w:rPr>
                <w:b/>
              </w:rPr>
            </w:pPr>
            <w:r>
              <w:rPr>
                <w:b/>
              </w:rPr>
              <w:t>2.5. ACCESSIBLE LANGUAGE</w:t>
            </w:r>
          </w:p>
          <w:p w14:paraId="2B739661" w14:textId="77777777" w:rsidR="007D527F" w:rsidRDefault="007D527F" w:rsidP="007D527F">
            <w:pPr>
              <w:pStyle w:val="BodyText"/>
            </w:pPr>
            <w:r>
              <w:t xml:space="preserve">We will make our reviews more accessible to decision-makers. </w:t>
            </w:r>
          </w:p>
          <w:p w14:paraId="3F836695" w14:textId="77777777" w:rsidR="007D527F" w:rsidRDefault="007D527F" w:rsidP="007D527F">
            <w:pPr>
              <w:pStyle w:val="BodyText"/>
            </w:pPr>
            <w:r w:rsidRPr="00266907">
              <w:t>We will simplify and standardi</w:t>
            </w:r>
            <w:r>
              <w:t>z</w:t>
            </w:r>
            <w:r w:rsidRPr="00266907">
              <w:t>e the language used across our content to improve readability and reduce ambiguity.</w:t>
            </w:r>
          </w:p>
          <w:p w14:paraId="0C5CC3EF" w14:textId="7D624F26" w:rsidR="007D527F" w:rsidRPr="000F40A7" w:rsidRDefault="007D527F" w:rsidP="007D527F">
            <w:pPr>
              <w:pStyle w:val="BodyText"/>
            </w:pPr>
          </w:p>
        </w:tc>
      </w:tr>
      <w:tr w:rsidR="007D527F" w:rsidRPr="000F40A7" w14:paraId="773B58A6" w14:textId="77777777" w:rsidTr="008C3A41">
        <w:tc>
          <w:tcPr>
            <w:tcW w:w="4815" w:type="dxa"/>
            <w:shd w:val="clear" w:color="auto" w:fill="F0CEEE" w:themeFill="background2" w:themeFillTint="33"/>
          </w:tcPr>
          <w:p w14:paraId="5DDA221C" w14:textId="77777777" w:rsidR="007D527F" w:rsidRPr="004D5935" w:rsidRDefault="007D527F" w:rsidP="007D527F">
            <w:pPr>
              <w:pStyle w:val="BodyText"/>
              <w:rPr>
                <w:rFonts w:asciiTheme="minorHAnsi" w:hAnsiTheme="minorHAnsi"/>
              </w:rPr>
            </w:pPr>
            <w:r w:rsidRPr="004D5935">
              <w:rPr>
                <w:rFonts w:asciiTheme="minorHAnsi" w:hAnsiTheme="minorHAnsi"/>
              </w:rPr>
              <w:t>Background</w:t>
            </w:r>
          </w:p>
        </w:tc>
        <w:tc>
          <w:tcPr>
            <w:tcW w:w="9639" w:type="dxa"/>
          </w:tcPr>
          <w:p w14:paraId="15677425" w14:textId="049E218E" w:rsidR="007D527F" w:rsidRDefault="007D527F" w:rsidP="007D527F">
            <w:pPr>
              <w:pStyle w:val="BodyText"/>
              <w:rPr>
                <w:rFonts w:ascii="Source Sans Pro" w:hAnsi="Source Sans Pro"/>
                <w:szCs w:val="20"/>
              </w:rPr>
            </w:pPr>
            <w:r w:rsidRPr="006069E9">
              <w:rPr>
                <w:rFonts w:ascii="Source Sans Pro" w:hAnsi="Source Sans Pro"/>
                <w:szCs w:val="20"/>
              </w:rPr>
              <w:t xml:space="preserve">The drive to improve the consistency and quality of </w:t>
            </w:r>
            <w:r>
              <w:rPr>
                <w:rFonts w:ascii="Source Sans Pro" w:hAnsi="Source Sans Pro"/>
                <w:szCs w:val="20"/>
              </w:rPr>
              <w:t>Plain Language Summaries</w:t>
            </w:r>
            <w:r w:rsidRPr="006069E9">
              <w:rPr>
                <w:rFonts w:ascii="Source Sans Pro" w:hAnsi="Source Sans Pro"/>
                <w:szCs w:val="20"/>
              </w:rPr>
              <w:t xml:space="preserve"> is not new. In 2016-17</w:t>
            </w:r>
            <w:r>
              <w:rPr>
                <w:rFonts w:ascii="Source Sans Pro" w:hAnsi="Source Sans Pro"/>
                <w:szCs w:val="20"/>
              </w:rPr>
              <w:t>,</w:t>
            </w:r>
            <w:r w:rsidRPr="006069E9">
              <w:rPr>
                <w:rFonts w:ascii="Source Sans Pro" w:hAnsi="Source Sans Pro"/>
                <w:szCs w:val="20"/>
              </w:rPr>
              <w:t xml:space="preserve"> Cochrane Norway ran a </w:t>
            </w:r>
            <w:hyperlink r:id="rId16" w:history="1">
              <w:r w:rsidRPr="007D527F">
                <w:rPr>
                  <w:rStyle w:val="Hyperlink"/>
                  <w:rFonts w:ascii="Source Sans Pro" w:hAnsi="Source Sans Pro"/>
                  <w:szCs w:val="20"/>
                </w:rPr>
                <w:t>pilot project</w:t>
              </w:r>
            </w:hyperlink>
            <w:r>
              <w:rPr>
                <w:rFonts w:ascii="Source Sans Pro" w:hAnsi="Source Sans Pro"/>
                <w:szCs w:val="20"/>
              </w:rPr>
              <w:t>, which identified:</w:t>
            </w:r>
          </w:p>
          <w:p w14:paraId="62163534" w14:textId="77777777" w:rsidR="007D527F" w:rsidRDefault="007D527F" w:rsidP="00CA0F71">
            <w:pPr>
              <w:pStyle w:val="BodyText"/>
              <w:spacing w:line="120" w:lineRule="auto"/>
              <w:rPr>
                <w:rFonts w:ascii="Source Sans Pro" w:hAnsi="Source Sans Pro"/>
                <w:szCs w:val="20"/>
              </w:rPr>
            </w:pPr>
          </w:p>
          <w:p w14:paraId="10D759EB" w14:textId="3CDF6AEF" w:rsidR="007D527F" w:rsidRPr="006069E9" w:rsidRDefault="007D527F" w:rsidP="007D527F">
            <w:pPr>
              <w:pStyle w:val="BodyText"/>
              <w:numPr>
                <w:ilvl w:val="0"/>
                <w:numId w:val="25"/>
              </w:numPr>
              <w:rPr>
                <w:rFonts w:ascii="Source Sans Pro" w:hAnsi="Source Sans Pro"/>
                <w:szCs w:val="20"/>
              </w:rPr>
            </w:pPr>
            <w:r w:rsidRPr="006069E9">
              <w:rPr>
                <w:rFonts w:ascii="Source Sans Pro" w:hAnsi="Source Sans Pro"/>
                <w:szCs w:val="20"/>
              </w:rPr>
              <w:t xml:space="preserve">the strengths and weaknesses of different approaches to writing PLSs within Cochrane; </w:t>
            </w:r>
          </w:p>
          <w:p w14:paraId="30A1471E" w14:textId="3D1F28C7" w:rsidR="007D527F" w:rsidRPr="006069E9" w:rsidRDefault="007D527F" w:rsidP="007D527F">
            <w:pPr>
              <w:pStyle w:val="BodyText"/>
              <w:numPr>
                <w:ilvl w:val="0"/>
                <w:numId w:val="20"/>
              </w:numPr>
              <w:rPr>
                <w:rFonts w:ascii="Source Sans Pro" w:hAnsi="Source Sans Pro"/>
                <w:szCs w:val="20"/>
              </w:rPr>
            </w:pPr>
            <w:r w:rsidRPr="006069E9">
              <w:rPr>
                <w:rFonts w:ascii="Source Sans Pro" w:hAnsi="Source Sans Pro"/>
                <w:szCs w:val="20"/>
              </w:rPr>
              <w:t xml:space="preserve">the need to provide a standardized language to all PLSs to assist the facilitation and uptake of language translation; </w:t>
            </w:r>
            <w:r w:rsidR="00CA0F71">
              <w:rPr>
                <w:rFonts w:ascii="Source Sans Pro" w:hAnsi="Source Sans Pro"/>
                <w:szCs w:val="20"/>
              </w:rPr>
              <w:t>and</w:t>
            </w:r>
          </w:p>
          <w:p w14:paraId="36320CF6" w14:textId="136801F3" w:rsidR="00CA0F71" w:rsidRPr="006069E9" w:rsidRDefault="007D527F" w:rsidP="00CA0F71">
            <w:pPr>
              <w:pStyle w:val="BodyText"/>
              <w:numPr>
                <w:ilvl w:val="0"/>
                <w:numId w:val="20"/>
              </w:numPr>
              <w:rPr>
                <w:rFonts w:ascii="Source Sans Pro" w:hAnsi="Source Sans Pro"/>
                <w:szCs w:val="20"/>
              </w:rPr>
            </w:pPr>
            <w:r w:rsidRPr="006069E9">
              <w:rPr>
                <w:rFonts w:ascii="Source Sans Pro" w:hAnsi="Source Sans Pro"/>
                <w:szCs w:val="20"/>
              </w:rPr>
              <w:t>the requirement for guidance in producing templates and subsequent training for writing PLSs</w:t>
            </w:r>
            <w:r w:rsidR="00381DF9">
              <w:rPr>
                <w:rFonts w:ascii="Source Sans Pro" w:hAnsi="Source Sans Pro"/>
                <w:szCs w:val="20"/>
              </w:rPr>
              <w:t>.</w:t>
            </w:r>
          </w:p>
          <w:p w14:paraId="4EFA6682" w14:textId="3818826E" w:rsidR="007D527F" w:rsidRPr="00381DF9" w:rsidRDefault="007D527F" w:rsidP="00381DF9">
            <w:pPr>
              <w:pStyle w:val="BodyText"/>
              <w:ind w:left="360"/>
              <w:rPr>
                <w:rFonts w:ascii="Source Sans Pro" w:hAnsi="Source Sans Pro"/>
                <w:szCs w:val="20"/>
              </w:rPr>
            </w:pPr>
          </w:p>
        </w:tc>
      </w:tr>
      <w:tr w:rsidR="007D527F" w:rsidRPr="000F40A7" w14:paraId="366B23F4" w14:textId="77777777" w:rsidTr="008C3A41">
        <w:tc>
          <w:tcPr>
            <w:tcW w:w="4815" w:type="dxa"/>
            <w:shd w:val="clear" w:color="auto" w:fill="F0CEEE" w:themeFill="background2" w:themeFillTint="33"/>
          </w:tcPr>
          <w:p w14:paraId="3AC4C6D3" w14:textId="77777777" w:rsidR="007D527F" w:rsidRPr="004D5935" w:rsidRDefault="007D527F" w:rsidP="007D527F">
            <w:pPr>
              <w:pStyle w:val="BodyText"/>
              <w:rPr>
                <w:rFonts w:asciiTheme="minorHAnsi" w:hAnsiTheme="minorHAnsi"/>
              </w:rPr>
            </w:pPr>
            <w:r w:rsidRPr="004D5935">
              <w:rPr>
                <w:rFonts w:asciiTheme="minorHAnsi" w:hAnsiTheme="minorHAnsi"/>
              </w:rPr>
              <w:t xml:space="preserve">Rationale for the Target in 2020: </w:t>
            </w:r>
          </w:p>
        </w:tc>
        <w:tc>
          <w:tcPr>
            <w:tcW w:w="9639" w:type="dxa"/>
          </w:tcPr>
          <w:p w14:paraId="2A0C637F" w14:textId="47635968" w:rsidR="007D527F" w:rsidRDefault="007D527F" w:rsidP="007D527F">
            <w:pPr>
              <w:pStyle w:val="BodyText"/>
              <w:numPr>
                <w:ilvl w:val="0"/>
                <w:numId w:val="11"/>
              </w:numPr>
            </w:pPr>
            <w:r>
              <w:t xml:space="preserve">Accessible language is key to achieving the Goal 2 of making Cochrane evidence </w:t>
            </w:r>
            <w:r w:rsidRPr="006E4E4A">
              <w:t>accessible and useful to everybody, everywhere in the world.</w:t>
            </w:r>
          </w:p>
          <w:p w14:paraId="3851C69E" w14:textId="1F508F6D" w:rsidR="007D527F" w:rsidRDefault="007D527F" w:rsidP="007D527F">
            <w:pPr>
              <w:pStyle w:val="BodyText"/>
              <w:numPr>
                <w:ilvl w:val="0"/>
                <w:numId w:val="11"/>
              </w:numPr>
            </w:pPr>
            <w:r>
              <w:t xml:space="preserve">Content written in plain language is a key dependency for producing effective and usable Knowledge Translation products, including language translations. </w:t>
            </w:r>
          </w:p>
          <w:p w14:paraId="343D802E" w14:textId="77777777" w:rsidR="007D527F" w:rsidRPr="000F40A7" w:rsidRDefault="007D527F" w:rsidP="007D527F">
            <w:pPr>
              <w:pStyle w:val="BodyText"/>
            </w:pPr>
          </w:p>
        </w:tc>
      </w:tr>
      <w:tr w:rsidR="007D527F" w:rsidRPr="000F40A7" w14:paraId="2DCD066C" w14:textId="77777777" w:rsidTr="008C3A41">
        <w:tc>
          <w:tcPr>
            <w:tcW w:w="4815" w:type="dxa"/>
            <w:shd w:val="clear" w:color="auto" w:fill="F0CEEE" w:themeFill="background2" w:themeFillTint="33"/>
          </w:tcPr>
          <w:p w14:paraId="474F06CE" w14:textId="77777777" w:rsidR="007D527F" w:rsidRPr="004D5935" w:rsidRDefault="007D527F" w:rsidP="007D527F">
            <w:pPr>
              <w:pStyle w:val="BodyText"/>
              <w:rPr>
                <w:rFonts w:asciiTheme="minorHAnsi" w:hAnsiTheme="minorHAnsi"/>
              </w:rPr>
            </w:pPr>
            <w:r w:rsidRPr="004D5935">
              <w:rPr>
                <w:rFonts w:asciiTheme="minorHAnsi" w:hAnsiTheme="minorHAnsi"/>
              </w:rPr>
              <w:t>Desired outcomes</w:t>
            </w:r>
          </w:p>
        </w:tc>
        <w:tc>
          <w:tcPr>
            <w:tcW w:w="9639" w:type="dxa"/>
          </w:tcPr>
          <w:p w14:paraId="16430EB4" w14:textId="690296F6" w:rsidR="007D527F" w:rsidRPr="007D527F" w:rsidRDefault="007D527F" w:rsidP="007D527F">
            <w:pPr>
              <w:pStyle w:val="BodyText"/>
              <w:numPr>
                <w:ilvl w:val="0"/>
                <w:numId w:val="21"/>
              </w:numPr>
              <w:rPr>
                <w:rFonts w:ascii="Source Sans Pro" w:hAnsi="Source Sans Pro"/>
                <w:szCs w:val="20"/>
              </w:rPr>
            </w:pPr>
            <w:r w:rsidRPr="00F871FD">
              <w:rPr>
                <w:rFonts w:ascii="Source Sans Pro" w:hAnsi="Source Sans Pro"/>
                <w:szCs w:val="20"/>
              </w:rPr>
              <w:t xml:space="preserve">Cochrane’s four target Knowledge Translation audiences (consumers and the public, practitioners, policymakers, and researchers and funders) find the Plain Language Summaries produced from Cochrane </w:t>
            </w:r>
            <w:r>
              <w:rPr>
                <w:rFonts w:ascii="Source Sans Pro" w:hAnsi="Source Sans Pro"/>
                <w:szCs w:val="20"/>
              </w:rPr>
              <w:t>R</w:t>
            </w:r>
            <w:r w:rsidRPr="00F871FD">
              <w:rPr>
                <w:rFonts w:ascii="Source Sans Pro" w:hAnsi="Source Sans Pro"/>
                <w:szCs w:val="20"/>
              </w:rPr>
              <w:t xml:space="preserve">eviews to be more </w:t>
            </w:r>
            <w:r>
              <w:rPr>
                <w:rFonts w:ascii="Source Sans Pro" w:hAnsi="Source Sans Pro"/>
                <w:szCs w:val="20"/>
              </w:rPr>
              <w:t xml:space="preserve">understandable and consistent, leading to an uptake in their use. </w:t>
            </w:r>
          </w:p>
          <w:p w14:paraId="4687645F" w14:textId="18240654" w:rsidR="007D527F" w:rsidRPr="00F871FD" w:rsidRDefault="007D527F" w:rsidP="007D527F">
            <w:pPr>
              <w:pStyle w:val="BodyText"/>
              <w:numPr>
                <w:ilvl w:val="0"/>
                <w:numId w:val="21"/>
              </w:numPr>
              <w:rPr>
                <w:rFonts w:ascii="Source Sans Pro" w:hAnsi="Source Sans Pro"/>
                <w:szCs w:val="20"/>
              </w:rPr>
            </w:pPr>
            <w:r w:rsidRPr="00F871FD">
              <w:rPr>
                <w:rFonts w:ascii="Source Sans Pro" w:hAnsi="Source Sans Pro"/>
                <w:szCs w:val="20"/>
              </w:rPr>
              <w:t>Cochrane language translation teams find the Plain Language Summaries to be more consistent and</w:t>
            </w:r>
            <w:r>
              <w:rPr>
                <w:rFonts w:ascii="Source Sans Pro" w:hAnsi="Source Sans Pro"/>
                <w:szCs w:val="20"/>
              </w:rPr>
              <w:t xml:space="preserve"> therefore</w:t>
            </w:r>
            <w:r w:rsidRPr="00F871FD">
              <w:rPr>
                <w:rFonts w:ascii="Source Sans Pro" w:hAnsi="Source Sans Pro"/>
                <w:szCs w:val="20"/>
              </w:rPr>
              <w:t xml:space="preserve"> easier to translate into other</w:t>
            </w:r>
            <w:r>
              <w:rPr>
                <w:rFonts w:ascii="Source Sans Pro" w:hAnsi="Source Sans Pro"/>
                <w:szCs w:val="20"/>
              </w:rPr>
              <w:t xml:space="preserve"> </w:t>
            </w:r>
            <w:r w:rsidRPr="00F871FD">
              <w:rPr>
                <w:rFonts w:ascii="Source Sans Pro" w:hAnsi="Source Sans Pro"/>
                <w:szCs w:val="20"/>
              </w:rPr>
              <w:t>languages.</w:t>
            </w:r>
          </w:p>
          <w:p w14:paraId="389F8B0D" w14:textId="77777777" w:rsidR="007D527F" w:rsidRDefault="007D527F" w:rsidP="007D527F">
            <w:pPr>
              <w:rPr>
                <w:rFonts w:asciiTheme="majorHAnsi" w:hAnsiTheme="majorHAnsi"/>
                <w:sz w:val="20"/>
                <w:szCs w:val="20"/>
              </w:rPr>
            </w:pPr>
          </w:p>
          <w:p w14:paraId="6B9BA1C0" w14:textId="5EA0CCB9" w:rsidR="007D527F" w:rsidRPr="00381DF9" w:rsidRDefault="0043050C" w:rsidP="00381DF9">
            <w:pPr>
              <w:rPr>
                <w:rFonts w:asciiTheme="majorHAnsi" w:hAnsiTheme="majorHAnsi"/>
                <w:bCs/>
                <w:sz w:val="20"/>
                <w:szCs w:val="20"/>
              </w:rPr>
            </w:pPr>
            <w:r>
              <w:rPr>
                <w:rFonts w:asciiTheme="majorHAnsi" w:hAnsiTheme="majorHAnsi"/>
                <w:sz w:val="20"/>
                <w:szCs w:val="20"/>
              </w:rPr>
              <w:t xml:space="preserve">NOTE: </w:t>
            </w:r>
            <w:r w:rsidR="007D527F" w:rsidRPr="007D527F">
              <w:rPr>
                <w:rFonts w:asciiTheme="majorHAnsi" w:hAnsiTheme="majorHAnsi"/>
                <w:sz w:val="20"/>
                <w:szCs w:val="20"/>
              </w:rPr>
              <w:t xml:space="preserve">This </w:t>
            </w:r>
            <w:r w:rsidR="007D527F">
              <w:rPr>
                <w:rFonts w:asciiTheme="majorHAnsi" w:hAnsiTheme="majorHAnsi"/>
                <w:sz w:val="20"/>
                <w:szCs w:val="20"/>
              </w:rPr>
              <w:t xml:space="preserve">work </w:t>
            </w:r>
            <w:r w:rsidR="007D527F" w:rsidRPr="007D527F">
              <w:rPr>
                <w:rFonts w:asciiTheme="majorHAnsi" w:hAnsiTheme="majorHAnsi"/>
                <w:sz w:val="20"/>
                <w:szCs w:val="20"/>
              </w:rPr>
              <w:t xml:space="preserve">will also be </w:t>
            </w:r>
            <w:r w:rsidR="00381DF9">
              <w:rPr>
                <w:rFonts w:asciiTheme="majorHAnsi" w:hAnsiTheme="majorHAnsi"/>
                <w:sz w:val="20"/>
                <w:szCs w:val="20"/>
              </w:rPr>
              <w:t>designed and implemented</w:t>
            </w:r>
            <w:r w:rsidR="007D527F" w:rsidRPr="007D527F">
              <w:rPr>
                <w:rFonts w:asciiTheme="majorHAnsi" w:hAnsiTheme="majorHAnsi"/>
                <w:sz w:val="20"/>
                <w:szCs w:val="20"/>
              </w:rPr>
              <w:t xml:space="preserve"> alongside </w:t>
            </w:r>
            <w:r w:rsidR="00381DF9">
              <w:rPr>
                <w:rFonts w:asciiTheme="majorHAnsi" w:hAnsiTheme="majorHAnsi"/>
                <w:sz w:val="20"/>
                <w:szCs w:val="20"/>
              </w:rPr>
              <w:t>a potential</w:t>
            </w:r>
            <w:r w:rsidR="007D527F" w:rsidRPr="007D527F">
              <w:rPr>
                <w:rFonts w:asciiTheme="majorHAnsi" w:hAnsiTheme="majorHAnsi"/>
                <w:sz w:val="20"/>
                <w:szCs w:val="20"/>
              </w:rPr>
              <w:t xml:space="preserve"> collaboration between </w:t>
            </w:r>
            <w:r w:rsidR="007D527F">
              <w:rPr>
                <w:rFonts w:asciiTheme="majorHAnsi" w:hAnsiTheme="majorHAnsi"/>
                <w:sz w:val="20"/>
                <w:szCs w:val="20"/>
              </w:rPr>
              <w:t>the Central Executive Team</w:t>
            </w:r>
            <w:r w:rsidR="007D527F" w:rsidRPr="007D527F">
              <w:rPr>
                <w:rFonts w:asciiTheme="majorHAnsi" w:hAnsiTheme="majorHAnsi"/>
                <w:sz w:val="20"/>
                <w:szCs w:val="20"/>
              </w:rPr>
              <w:t xml:space="preserve"> and Cochrane Norway </w:t>
            </w:r>
            <w:r w:rsidR="00381DF9">
              <w:rPr>
                <w:rFonts w:asciiTheme="majorHAnsi" w:hAnsiTheme="majorHAnsi"/>
                <w:sz w:val="20"/>
                <w:szCs w:val="20"/>
              </w:rPr>
              <w:t xml:space="preserve">on an EU grant application </w:t>
            </w:r>
            <w:r w:rsidR="007D527F" w:rsidRPr="007D527F">
              <w:rPr>
                <w:rFonts w:asciiTheme="majorHAnsi" w:hAnsiTheme="majorHAnsi"/>
                <w:sz w:val="20"/>
                <w:szCs w:val="20"/>
              </w:rPr>
              <w:t>with the aim of designing and user-testing a template for communicating evidence-based information about the effects of healthcare interventions to patients and the public.</w:t>
            </w:r>
            <w:r w:rsidR="00381DF9">
              <w:rPr>
                <w:rFonts w:asciiTheme="majorHAnsi" w:hAnsiTheme="majorHAnsi"/>
                <w:sz w:val="20"/>
                <w:szCs w:val="20"/>
              </w:rPr>
              <w:t xml:space="preserve"> The success of this potential collaboration will </w:t>
            </w:r>
            <w:r w:rsidR="007D527F" w:rsidRPr="00381DF9">
              <w:rPr>
                <w:rFonts w:asciiTheme="majorHAnsi" w:hAnsiTheme="majorHAnsi"/>
                <w:bCs/>
                <w:sz w:val="20"/>
                <w:szCs w:val="20"/>
              </w:rPr>
              <w:t xml:space="preserve">likely impact on the </w:t>
            </w:r>
            <w:r w:rsidR="00E13D26">
              <w:rPr>
                <w:rFonts w:asciiTheme="majorHAnsi" w:hAnsiTheme="majorHAnsi"/>
                <w:bCs/>
                <w:sz w:val="20"/>
                <w:szCs w:val="20"/>
              </w:rPr>
              <w:t xml:space="preserve">final </w:t>
            </w:r>
            <w:r w:rsidR="007D527F" w:rsidRPr="00381DF9">
              <w:rPr>
                <w:rFonts w:asciiTheme="majorHAnsi" w:hAnsiTheme="majorHAnsi"/>
                <w:bCs/>
                <w:sz w:val="20"/>
                <w:szCs w:val="20"/>
              </w:rPr>
              <w:t>outcomes and timing of this project.</w:t>
            </w:r>
          </w:p>
          <w:p w14:paraId="4C993D2F" w14:textId="77777777" w:rsidR="007D527F" w:rsidRPr="000F40A7" w:rsidRDefault="007D527F" w:rsidP="007D527F">
            <w:pPr>
              <w:pStyle w:val="BodyText"/>
            </w:pPr>
          </w:p>
        </w:tc>
      </w:tr>
      <w:tr w:rsidR="007D527F" w:rsidRPr="000F40A7" w14:paraId="5E9E74A6" w14:textId="77777777" w:rsidTr="008C3A41">
        <w:tc>
          <w:tcPr>
            <w:tcW w:w="4815" w:type="dxa"/>
            <w:shd w:val="clear" w:color="auto" w:fill="F0CEEE" w:themeFill="background2" w:themeFillTint="33"/>
          </w:tcPr>
          <w:p w14:paraId="2D7C289D" w14:textId="77777777" w:rsidR="007D527F" w:rsidRPr="004D5935" w:rsidRDefault="007D527F" w:rsidP="007D527F">
            <w:pPr>
              <w:pStyle w:val="BodyText"/>
              <w:rPr>
                <w:rFonts w:asciiTheme="minorHAnsi" w:hAnsiTheme="minorHAnsi"/>
              </w:rPr>
            </w:pPr>
            <w:r w:rsidRPr="004D5935">
              <w:rPr>
                <w:rFonts w:asciiTheme="minorHAnsi" w:hAnsiTheme="minorHAnsi"/>
              </w:rPr>
              <w:t>Planned outputs by the end of 2020</w:t>
            </w:r>
          </w:p>
        </w:tc>
        <w:tc>
          <w:tcPr>
            <w:tcW w:w="9639" w:type="dxa"/>
          </w:tcPr>
          <w:p w14:paraId="141BFCE6" w14:textId="14659322" w:rsidR="007D527F" w:rsidRPr="0043050C" w:rsidRDefault="007D527F" w:rsidP="0043050C">
            <w:pPr>
              <w:pStyle w:val="BodyText"/>
              <w:numPr>
                <w:ilvl w:val="0"/>
                <w:numId w:val="22"/>
              </w:numPr>
              <w:rPr>
                <w:szCs w:val="20"/>
              </w:rPr>
            </w:pPr>
            <w:r>
              <w:rPr>
                <w:szCs w:val="20"/>
              </w:rPr>
              <w:t xml:space="preserve">A project to test a new format and template </w:t>
            </w:r>
            <w:r w:rsidR="0043050C">
              <w:rPr>
                <w:szCs w:val="20"/>
              </w:rPr>
              <w:t>for</w:t>
            </w:r>
            <w:r>
              <w:rPr>
                <w:szCs w:val="20"/>
              </w:rPr>
              <w:t xml:space="preserve"> producing and writing PLSs within the MOSS CRG Network supported by KT advisors, senior editorial team</w:t>
            </w:r>
            <w:r w:rsidR="0043050C">
              <w:rPr>
                <w:szCs w:val="20"/>
              </w:rPr>
              <w:t xml:space="preserve">s will be undertaken, working from learning already gained from the </w:t>
            </w:r>
            <w:r w:rsidRPr="0043050C">
              <w:rPr>
                <w:szCs w:val="20"/>
              </w:rPr>
              <w:t>previous Cochrane Norway PLS pilot scheme</w:t>
            </w:r>
            <w:r w:rsidR="0043050C">
              <w:rPr>
                <w:szCs w:val="20"/>
              </w:rPr>
              <w:t>.</w:t>
            </w:r>
          </w:p>
          <w:p w14:paraId="10C1AFD7" w14:textId="77777777" w:rsidR="007D527F" w:rsidRPr="00F333E9" w:rsidRDefault="007D527F" w:rsidP="007D527F">
            <w:pPr>
              <w:pStyle w:val="BodyText"/>
              <w:numPr>
                <w:ilvl w:val="0"/>
                <w:numId w:val="22"/>
              </w:numPr>
              <w:rPr>
                <w:szCs w:val="20"/>
              </w:rPr>
            </w:pPr>
            <w:r w:rsidRPr="00FE5C71">
              <w:rPr>
                <w:szCs w:val="20"/>
              </w:rPr>
              <w:t>The new-style PLSs will be regularly evaluated and compared against a range of existing PLSs.</w:t>
            </w:r>
          </w:p>
          <w:p w14:paraId="2E2DB351" w14:textId="77777777" w:rsidR="007D527F" w:rsidRPr="00381DF9" w:rsidRDefault="007D527F" w:rsidP="007D527F">
            <w:pPr>
              <w:pStyle w:val="BodyText"/>
              <w:numPr>
                <w:ilvl w:val="0"/>
                <w:numId w:val="24"/>
              </w:numPr>
              <w:jc w:val="both"/>
            </w:pPr>
            <w:r>
              <w:rPr>
                <w:szCs w:val="20"/>
              </w:rPr>
              <w:lastRenderedPageBreak/>
              <w:t>The project will develop a series of recommendations and guidance for future PLSs</w:t>
            </w:r>
            <w:r w:rsidR="00381DF9">
              <w:rPr>
                <w:szCs w:val="20"/>
              </w:rPr>
              <w:t>,</w:t>
            </w:r>
            <w:r>
              <w:rPr>
                <w:szCs w:val="20"/>
              </w:rPr>
              <w:t xml:space="preserve"> including the feasibility of a single </w:t>
            </w:r>
            <w:r w:rsidR="00381DF9">
              <w:rPr>
                <w:szCs w:val="20"/>
              </w:rPr>
              <w:t xml:space="preserve">integrated </w:t>
            </w:r>
            <w:r>
              <w:rPr>
                <w:szCs w:val="20"/>
              </w:rPr>
              <w:t xml:space="preserve">PLS </w:t>
            </w:r>
            <w:r w:rsidR="00381DF9">
              <w:rPr>
                <w:szCs w:val="20"/>
              </w:rPr>
              <w:t>approach</w:t>
            </w:r>
            <w:r>
              <w:rPr>
                <w:szCs w:val="20"/>
              </w:rPr>
              <w:t xml:space="preserve"> for Cochrane. </w:t>
            </w:r>
          </w:p>
          <w:p w14:paraId="71838BFE" w14:textId="542F1B0D" w:rsidR="00381DF9" w:rsidRPr="000F40A7" w:rsidRDefault="00381DF9" w:rsidP="00381DF9">
            <w:pPr>
              <w:pStyle w:val="BodyText"/>
              <w:ind w:left="720"/>
              <w:jc w:val="both"/>
            </w:pPr>
          </w:p>
        </w:tc>
      </w:tr>
    </w:tbl>
    <w:p w14:paraId="482B0223" w14:textId="73D39055" w:rsidR="006E4E4A" w:rsidRDefault="006E4E4A" w:rsidP="00490C65">
      <w:pPr>
        <w:pStyle w:val="TableParagraph"/>
        <w:tabs>
          <w:tab w:val="left" w:pos="829"/>
        </w:tabs>
        <w:ind w:left="0" w:right="879"/>
        <w:rPr>
          <w:b/>
          <w:color w:val="962D91"/>
          <w:sz w:val="28"/>
          <w:szCs w:val="28"/>
        </w:rPr>
      </w:pPr>
    </w:p>
    <w:p w14:paraId="1654F45C" w14:textId="77777777" w:rsidR="00381DF9" w:rsidRDefault="00381DF9" w:rsidP="00490C65">
      <w:pPr>
        <w:pStyle w:val="TableParagraph"/>
        <w:tabs>
          <w:tab w:val="left" w:pos="829"/>
        </w:tabs>
        <w:ind w:left="0" w:right="879"/>
        <w:rPr>
          <w:b/>
          <w:color w:val="962D91"/>
          <w:sz w:val="28"/>
          <w:szCs w:val="28"/>
        </w:rPr>
      </w:pPr>
    </w:p>
    <w:tbl>
      <w:tblPr>
        <w:tblStyle w:val="TableGrid"/>
        <w:tblW w:w="14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59"/>
      </w:tblGrid>
      <w:tr w:rsidR="00B05AB7" w:rsidRPr="00C4076F" w14:paraId="3E05A3EB" w14:textId="77777777" w:rsidTr="006435D2">
        <w:tc>
          <w:tcPr>
            <w:tcW w:w="14459" w:type="dxa"/>
            <w:shd w:val="clear" w:color="auto" w:fill="F0CEEE" w:themeFill="accent2" w:themeFillTint="33"/>
          </w:tcPr>
          <w:p w14:paraId="461E3E0C" w14:textId="77777777" w:rsidR="00B05AB7" w:rsidRDefault="00B05AB7" w:rsidP="00826158">
            <w:pPr>
              <w:jc w:val="both"/>
              <w:rPr>
                <w:rFonts w:asciiTheme="majorHAnsi" w:hAnsiTheme="majorHAnsi"/>
                <w:b/>
                <w:color w:val="002060"/>
              </w:rPr>
            </w:pPr>
          </w:p>
          <w:p w14:paraId="113F21F0" w14:textId="77777777" w:rsidR="00B05AB7" w:rsidRPr="00C4076F" w:rsidRDefault="00B05AB7" w:rsidP="00826158">
            <w:pPr>
              <w:jc w:val="both"/>
              <w:rPr>
                <w:rFonts w:asciiTheme="majorHAnsi" w:hAnsiTheme="majorHAnsi"/>
                <w:b/>
                <w:color w:val="002060"/>
                <w:sz w:val="36"/>
                <w:szCs w:val="36"/>
              </w:rPr>
            </w:pPr>
            <w:r w:rsidRPr="00C4076F">
              <w:rPr>
                <w:rFonts w:asciiTheme="majorHAnsi" w:hAnsiTheme="majorHAnsi"/>
                <w:b/>
                <w:color w:val="002060"/>
                <w:sz w:val="36"/>
                <w:szCs w:val="36"/>
              </w:rPr>
              <w:t>GOAL 3: ADVOCATING FOR EVIDENCE</w:t>
            </w:r>
          </w:p>
        </w:tc>
      </w:tr>
      <w:tr w:rsidR="00B05AB7" w:rsidRPr="00C4076F" w14:paraId="7B7CA7DB" w14:textId="77777777" w:rsidTr="006435D2">
        <w:tc>
          <w:tcPr>
            <w:tcW w:w="14459" w:type="dxa"/>
            <w:shd w:val="clear" w:color="auto" w:fill="F0CEEE" w:themeFill="accent2" w:themeFillTint="33"/>
          </w:tcPr>
          <w:p w14:paraId="796E3CE5" w14:textId="77777777" w:rsidR="00B05AB7" w:rsidRPr="00205548" w:rsidRDefault="00B05AB7" w:rsidP="00826158">
            <w:pPr>
              <w:jc w:val="both"/>
              <w:rPr>
                <w:rFonts w:asciiTheme="majorHAnsi" w:hAnsiTheme="majorHAnsi"/>
                <w:b/>
                <w:color w:val="002060"/>
                <w:sz w:val="28"/>
                <w:szCs w:val="28"/>
              </w:rPr>
            </w:pPr>
            <w:r w:rsidRPr="00205548">
              <w:rPr>
                <w:rFonts w:asciiTheme="majorHAnsi" w:hAnsiTheme="majorHAnsi"/>
                <w:b/>
                <w:color w:val="002060"/>
                <w:sz w:val="28"/>
                <w:szCs w:val="28"/>
              </w:rPr>
              <w:t>To make Cochrane the ‘home of evidence’ to inform health decision-making, build greater recognition of our work, and become the leading advocate for evidence-informed health care.</w:t>
            </w:r>
          </w:p>
          <w:p w14:paraId="152304D2" w14:textId="77777777" w:rsidR="00B05AB7" w:rsidRPr="00C4076F" w:rsidRDefault="00B05AB7" w:rsidP="00826158">
            <w:pPr>
              <w:jc w:val="both"/>
              <w:rPr>
                <w:rFonts w:asciiTheme="majorHAnsi" w:hAnsiTheme="majorHAnsi"/>
              </w:rPr>
            </w:pPr>
          </w:p>
        </w:tc>
      </w:tr>
    </w:tbl>
    <w:p w14:paraId="5740CA64" w14:textId="784065E8" w:rsidR="00B05AB7" w:rsidRDefault="00B05AB7" w:rsidP="00B05AB7">
      <w:pPr>
        <w:pStyle w:val="BodyText"/>
        <w:tabs>
          <w:tab w:val="left" w:pos="2760"/>
        </w:tabs>
      </w:pPr>
    </w:p>
    <w:p w14:paraId="508A341E" w14:textId="05239917" w:rsidR="00052195" w:rsidRPr="00381DF9" w:rsidRDefault="00B05AB7" w:rsidP="00B05AB7">
      <w:pPr>
        <w:pStyle w:val="BodyText"/>
        <w:tabs>
          <w:tab w:val="left" w:pos="2760"/>
        </w:tabs>
        <w:rPr>
          <w:sz w:val="28"/>
          <w:szCs w:val="28"/>
        </w:rPr>
      </w:pPr>
      <w:r w:rsidRPr="00381DF9">
        <w:rPr>
          <w:sz w:val="28"/>
          <w:szCs w:val="28"/>
        </w:rPr>
        <w:t>There are no</w:t>
      </w:r>
      <w:r w:rsidR="00052195" w:rsidRPr="00381DF9">
        <w:rPr>
          <w:sz w:val="28"/>
          <w:szCs w:val="28"/>
        </w:rPr>
        <w:t xml:space="preserve"> proposed</w:t>
      </w:r>
      <w:r w:rsidRPr="00381DF9">
        <w:rPr>
          <w:sz w:val="28"/>
          <w:szCs w:val="28"/>
        </w:rPr>
        <w:t xml:space="preserve"> </w:t>
      </w:r>
      <w:r w:rsidR="00052195" w:rsidRPr="00381DF9">
        <w:rPr>
          <w:sz w:val="28"/>
          <w:szCs w:val="28"/>
        </w:rPr>
        <w:t xml:space="preserve">organizational </w:t>
      </w:r>
      <w:r w:rsidRPr="00381DF9">
        <w:rPr>
          <w:sz w:val="28"/>
          <w:szCs w:val="28"/>
        </w:rPr>
        <w:t xml:space="preserve">Targets under Goal 3 for </w:t>
      </w:r>
      <w:r w:rsidR="00381DF9" w:rsidRPr="00381DF9">
        <w:rPr>
          <w:sz w:val="28"/>
          <w:szCs w:val="28"/>
        </w:rPr>
        <w:t>2020, although</w:t>
      </w:r>
      <w:r w:rsidR="00052195" w:rsidRPr="00381DF9">
        <w:rPr>
          <w:sz w:val="28"/>
          <w:szCs w:val="28"/>
        </w:rPr>
        <w:t xml:space="preserve"> ongoing </w:t>
      </w:r>
      <w:r w:rsidR="00381DF9">
        <w:rPr>
          <w:sz w:val="28"/>
          <w:szCs w:val="28"/>
        </w:rPr>
        <w:t xml:space="preserve">prioritized </w:t>
      </w:r>
      <w:r w:rsidR="00052195" w:rsidRPr="00381DF9">
        <w:rPr>
          <w:sz w:val="28"/>
          <w:szCs w:val="28"/>
        </w:rPr>
        <w:t>work</w:t>
      </w:r>
      <w:r w:rsidR="00FA57F4" w:rsidRPr="00381DF9">
        <w:rPr>
          <w:sz w:val="28"/>
          <w:szCs w:val="28"/>
        </w:rPr>
        <w:t xml:space="preserve"> that is now part of standard operations</w:t>
      </w:r>
      <w:r w:rsidR="00052195" w:rsidRPr="00381DF9">
        <w:rPr>
          <w:sz w:val="28"/>
          <w:szCs w:val="28"/>
        </w:rPr>
        <w:t xml:space="preserve"> will </w:t>
      </w:r>
      <w:r w:rsidR="00381DF9">
        <w:rPr>
          <w:sz w:val="28"/>
          <w:szCs w:val="28"/>
        </w:rPr>
        <w:t xml:space="preserve">be focused on </w:t>
      </w:r>
      <w:r w:rsidR="00052195" w:rsidRPr="00381DF9">
        <w:rPr>
          <w:sz w:val="28"/>
          <w:szCs w:val="28"/>
        </w:rPr>
        <w:t>the following Objectives:</w:t>
      </w:r>
    </w:p>
    <w:p w14:paraId="15B1C1B9" w14:textId="77777777" w:rsidR="00052195" w:rsidRDefault="00052195" w:rsidP="00B05AB7">
      <w:pPr>
        <w:pStyle w:val="BodyText"/>
        <w:tabs>
          <w:tab w:val="left" w:pos="2760"/>
        </w:tabs>
      </w:pPr>
    </w:p>
    <w:p w14:paraId="1EDCD8A6" w14:textId="77777777" w:rsidR="00484574" w:rsidRDefault="00484574" w:rsidP="00381DF9">
      <w:pPr>
        <w:pStyle w:val="BodyText"/>
        <w:rPr>
          <w:b/>
          <w:bCs/>
          <w:lang w:eastAsia="en-GB"/>
        </w:rPr>
      </w:pPr>
      <w:r>
        <w:rPr>
          <w:b/>
          <w:bCs/>
          <w:lang w:eastAsia="en-GB"/>
        </w:rPr>
        <w:t>3.2. THE ‘HOME OF EVIDENCE’</w:t>
      </w:r>
    </w:p>
    <w:p w14:paraId="16552816" w14:textId="0850CD33" w:rsidR="00484574" w:rsidRPr="00484574" w:rsidRDefault="00484574" w:rsidP="00381DF9">
      <w:pPr>
        <w:pStyle w:val="BodyText"/>
        <w:rPr>
          <w:b/>
          <w:bCs/>
          <w:lang w:eastAsia="en-GB"/>
        </w:rPr>
      </w:pPr>
      <w:r w:rsidRPr="00484574">
        <w:rPr>
          <w:bCs/>
          <w:lang w:eastAsia="en-GB"/>
        </w:rPr>
        <w:t>We will make Cochrane the ‘go-to’ place for evidence to inform health decision-making by offering a range of evidence-informed products and resources.</w:t>
      </w:r>
    </w:p>
    <w:p w14:paraId="3A2E626E" w14:textId="582B1833" w:rsidR="00052195" w:rsidRDefault="00052195" w:rsidP="00381DF9">
      <w:pPr>
        <w:pStyle w:val="BodyText"/>
        <w:tabs>
          <w:tab w:val="left" w:pos="2760"/>
        </w:tabs>
        <w:spacing w:line="120" w:lineRule="auto"/>
      </w:pPr>
    </w:p>
    <w:p w14:paraId="084C50BF" w14:textId="57C6BBBA" w:rsidR="00484574" w:rsidRDefault="00FA57F4" w:rsidP="00381DF9">
      <w:pPr>
        <w:pStyle w:val="BodyText"/>
        <w:pBdr>
          <w:top w:val="single" w:sz="4" w:space="1" w:color="auto"/>
          <w:left w:val="single" w:sz="4" w:space="4" w:color="auto"/>
          <w:bottom w:val="single" w:sz="4" w:space="1" w:color="auto"/>
          <w:right w:val="single" w:sz="4" w:space="4" w:color="auto"/>
        </w:pBdr>
        <w:tabs>
          <w:tab w:val="left" w:pos="2760"/>
        </w:tabs>
        <w:spacing w:after="120"/>
      </w:pPr>
      <w:r>
        <w:t>There will be o</w:t>
      </w:r>
      <w:r w:rsidR="00484574">
        <w:t xml:space="preserve">ngoing development and new feature development of the Cochrane Library, as detailed here: </w:t>
      </w:r>
      <w:hyperlink r:id="rId17" w:history="1">
        <w:r w:rsidR="00484574" w:rsidRPr="00276F00">
          <w:rPr>
            <w:rStyle w:val="Hyperlink"/>
          </w:rPr>
          <w:t>https://www.cochranelibrary.com/about/releases</w:t>
        </w:r>
      </w:hyperlink>
      <w:r>
        <w:t>.</w:t>
      </w:r>
    </w:p>
    <w:p w14:paraId="72D839A7" w14:textId="16970622" w:rsidR="00484574" w:rsidRDefault="00484574" w:rsidP="00B05AB7">
      <w:pPr>
        <w:pStyle w:val="BodyText"/>
        <w:tabs>
          <w:tab w:val="left" w:pos="2760"/>
        </w:tabs>
      </w:pPr>
    </w:p>
    <w:p w14:paraId="304A0ECA" w14:textId="77777777" w:rsidR="00FA57F4" w:rsidRDefault="00484574" w:rsidP="00381DF9">
      <w:pPr>
        <w:pStyle w:val="BodyText"/>
        <w:tabs>
          <w:tab w:val="left" w:pos="2760"/>
        </w:tabs>
        <w:rPr>
          <w:b/>
        </w:rPr>
      </w:pPr>
      <w:r w:rsidRPr="00484574">
        <w:rPr>
          <w:b/>
        </w:rPr>
        <w:t>3.4. GLOBAL ADVOCATE</w:t>
      </w:r>
    </w:p>
    <w:p w14:paraId="150CF27D" w14:textId="0CD6AA00" w:rsidR="007D527F" w:rsidRDefault="00484574" w:rsidP="00381DF9">
      <w:pPr>
        <w:pStyle w:val="BodyText"/>
        <w:tabs>
          <w:tab w:val="left" w:pos="2760"/>
        </w:tabs>
      </w:pPr>
      <w:r>
        <w:t>We will advocate for evidence-informed health care and the uptake of synthesized research evidence in health policymaking and services planning.</w:t>
      </w:r>
    </w:p>
    <w:p w14:paraId="64A7E35F" w14:textId="076CAEAB" w:rsidR="00FA57F4" w:rsidRDefault="00484574" w:rsidP="007D527F">
      <w:pPr>
        <w:pStyle w:val="BodyText"/>
        <w:tabs>
          <w:tab w:val="left" w:pos="2760"/>
        </w:tabs>
        <w:ind w:left="1800"/>
        <w:rPr>
          <w:b/>
        </w:rPr>
      </w:pPr>
      <w:r>
        <w:tab/>
      </w:r>
    </w:p>
    <w:p w14:paraId="75013F92" w14:textId="3C856607" w:rsidR="00484574" w:rsidRPr="00484574" w:rsidRDefault="00484574" w:rsidP="00381DF9">
      <w:pPr>
        <w:pStyle w:val="BodyText"/>
        <w:tabs>
          <w:tab w:val="left" w:pos="2760"/>
        </w:tabs>
        <w:rPr>
          <w:b/>
        </w:rPr>
      </w:pPr>
      <w:r w:rsidRPr="00484574">
        <w:rPr>
          <w:b/>
        </w:rPr>
        <w:t>3.6. GLOBAL ADVOCATE</w:t>
      </w:r>
    </w:p>
    <w:p w14:paraId="3AD30152" w14:textId="4BF0C1FE" w:rsidR="00484574" w:rsidRDefault="00484574" w:rsidP="00381DF9">
      <w:pPr>
        <w:pStyle w:val="BodyText"/>
        <w:tabs>
          <w:tab w:val="left" w:pos="2760"/>
        </w:tabs>
      </w:pPr>
      <w:r>
        <w:t>We will campaign for transparency and integrity in scientific conduct, including the registration and reporting of results from all clinical trials, to ensure that the totality of evidence is available to those conducting research or making health decisions.</w:t>
      </w:r>
    </w:p>
    <w:p w14:paraId="4CD42FBD" w14:textId="7AF6FCAD" w:rsidR="00FA57F4" w:rsidRDefault="00FA57F4" w:rsidP="00381DF9">
      <w:pPr>
        <w:pStyle w:val="BodyText"/>
        <w:tabs>
          <w:tab w:val="left" w:pos="2760"/>
        </w:tabs>
        <w:spacing w:line="120" w:lineRule="auto"/>
      </w:pPr>
    </w:p>
    <w:tbl>
      <w:tblPr>
        <w:tblStyle w:val="TableGrid"/>
        <w:tblW w:w="0" w:type="auto"/>
        <w:tblLook w:val="04A0" w:firstRow="1" w:lastRow="0" w:firstColumn="1" w:lastColumn="0" w:noHBand="0" w:noVBand="1"/>
      </w:tblPr>
      <w:tblGrid>
        <w:gridCol w:w="14560"/>
      </w:tblGrid>
      <w:tr w:rsidR="00A74CE1" w14:paraId="33DF95B0" w14:textId="77777777" w:rsidTr="00A74CE1">
        <w:tc>
          <w:tcPr>
            <w:tcW w:w="14560" w:type="dxa"/>
          </w:tcPr>
          <w:p w14:paraId="0138F9D8" w14:textId="47A2B0FD" w:rsidR="00A74CE1" w:rsidRDefault="00A74CE1" w:rsidP="00A74CE1">
            <w:pPr>
              <w:pStyle w:val="BodyText"/>
              <w:tabs>
                <w:tab w:val="left" w:pos="2760"/>
              </w:tabs>
            </w:pPr>
            <w:r>
              <w:t>Organizational advocacy priorities for 2020</w:t>
            </w:r>
            <w:r w:rsidR="007D527F">
              <w:t>-2021</w:t>
            </w:r>
            <w:r w:rsidR="00381DF9">
              <w:t xml:space="preserve"> </w:t>
            </w:r>
            <w:r>
              <w:t xml:space="preserve">approved by the </w:t>
            </w:r>
            <w:r w:rsidR="00381DF9">
              <w:t xml:space="preserve">Governing </w:t>
            </w:r>
            <w:r>
              <w:t>Board</w:t>
            </w:r>
            <w:r w:rsidR="00381DF9">
              <w:t xml:space="preserve"> in October 2019 will be developed and implemented around</w:t>
            </w:r>
            <w:r>
              <w:t>:</w:t>
            </w:r>
          </w:p>
          <w:p w14:paraId="1D783C9F" w14:textId="6A562F97" w:rsidR="007D527F" w:rsidRDefault="007D527F" w:rsidP="00381DF9">
            <w:pPr>
              <w:pStyle w:val="BodyText"/>
              <w:tabs>
                <w:tab w:val="left" w:pos="2760"/>
              </w:tabs>
              <w:spacing w:line="120" w:lineRule="auto"/>
            </w:pPr>
          </w:p>
          <w:p w14:paraId="28BA66A5" w14:textId="77777777" w:rsidR="007D527F" w:rsidRDefault="007D527F" w:rsidP="00381DF9">
            <w:pPr>
              <w:pStyle w:val="BodyText"/>
              <w:numPr>
                <w:ilvl w:val="0"/>
                <w:numId w:val="18"/>
              </w:numPr>
              <w:tabs>
                <w:tab w:val="left" w:pos="2760"/>
              </w:tabs>
              <w:spacing w:after="120"/>
              <w:ind w:left="459" w:hanging="425"/>
            </w:pPr>
            <w:r>
              <w:t>Advocacy for the use of high-quality evidence synthesis in health decision making; and</w:t>
            </w:r>
          </w:p>
          <w:p w14:paraId="1F950B4F" w14:textId="7F67225C" w:rsidR="007D527F" w:rsidRDefault="007D527F" w:rsidP="00381DF9">
            <w:pPr>
              <w:pStyle w:val="BodyText"/>
              <w:numPr>
                <w:ilvl w:val="0"/>
                <w:numId w:val="18"/>
              </w:numPr>
              <w:tabs>
                <w:tab w:val="left" w:pos="2760"/>
              </w:tabs>
              <w:spacing w:after="120"/>
              <w:ind w:left="459" w:hanging="425"/>
            </w:pPr>
            <w:r>
              <w:t>Advocacy for transparency and integrity in research.</w:t>
            </w:r>
          </w:p>
        </w:tc>
      </w:tr>
    </w:tbl>
    <w:p w14:paraId="70487D9E" w14:textId="2E96B763" w:rsidR="00A74CE1" w:rsidRDefault="00A74CE1" w:rsidP="00B05AB7">
      <w:pPr>
        <w:pStyle w:val="BodyText"/>
        <w:tabs>
          <w:tab w:val="left" w:pos="2760"/>
        </w:tabs>
      </w:pPr>
    </w:p>
    <w:p w14:paraId="00248015" w14:textId="77777777" w:rsidR="007D527F" w:rsidRDefault="007D527F" w:rsidP="00381DF9">
      <w:pPr>
        <w:pStyle w:val="BodyText"/>
        <w:rPr>
          <w:b/>
        </w:rPr>
      </w:pPr>
      <w:r>
        <w:rPr>
          <w:b/>
        </w:rPr>
        <w:t>3.7. GLOBAL PARTNER</w:t>
      </w:r>
    </w:p>
    <w:p w14:paraId="135247CD" w14:textId="399B3B6C" w:rsidR="007D527F" w:rsidRPr="007D527F" w:rsidRDefault="007D527F" w:rsidP="00381DF9">
      <w:pPr>
        <w:pStyle w:val="BodyText"/>
        <w:rPr>
          <w:b/>
        </w:rPr>
      </w:pPr>
      <w:r w:rsidRPr="005217F8">
        <w:t xml:space="preserve">We will build international and local partnerships and alliances with </w:t>
      </w:r>
      <w:r>
        <w:t>organization</w:t>
      </w:r>
      <w:r w:rsidRPr="005217F8">
        <w:t xml:space="preserve">s that help us to reach people making decisions in health, particularly guidelines developers, policymakers, associations of healthcare practitioners and patient </w:t>
      </w:r>
      <w:r>
        <w:t>organization</w:t>
      </w:r>
      <w:r w:rsidRPr="005217F8">
        <w:t>s.</w:t>
      </w:r>
    </w:p>
    <w:p w14:paraId="5507DC76" w14:textId="77777777" w:rsidR="007D527F" w:rsidRPr="00FA57F4" w:rsidRDefault="007D527F" w:rsidP="00381DF9">
      <w:pPr>
        <w:pStyle w:val="BodyText"/>
        <w:spacing w:line="120" w:lineRule="auto"/>
        <w:rPr>
          <w:b/>
        </w:rPr>
      </w:pPr>
    </w:p>
    <w:tbl>
      <w:tblPr>
        <w:tblStyle w:val="TableGrid"/>
        <w:tblW w:w="0" w:type="auto"/>
        <w:tblLook w:val="04A0" w:firstRow="1" w:lastRow="0" w:firstColumn="1" w:lastColumn="0" w:noHBand="0" w:noVBand="1"/>
      </w:tblPr>
      <w:tblGrid>
        <w:gridCol w:w="14560"/>
      </w:tblGrid>
      <w:tr w:rsidR="007D527F" w14:paraId="3ACC9B89" w14:textId="77777777" w:rsidTr="007D527F">
        <w:tc>
          <w:tcPr>
            <w:tcW w:w="14560" w:type="dxa"/>
          </w:tcPr>
          <w:p w14:paraId="6E3E8692" w14:textId="0F76EF33" w:rsidR="007D527F" w:rsidRPr="00FA57F4" w:rsidRDefault="007D527F" w:rsidP="007D527F">
            <w:pPr>
              <w:pStyle w:val="BodyText"/>
              <w:rPr>
                <w:szCs w:val="20"/>
              </w:rPr>
            </w:pPr>
            <w:r w:rsidRPr="00FA57F4">
              <w:rPr>
                <w:szCs w:val="20"/>
              </w:rPr>
              <w:lastRenderedPageBreak/>
              <w:t xml:space="preserve">Cochrane’s work with external partners is guided by the </w:t>
            </w:r>
            <w:hyperlink r:id="rId18" w:history="1">
              <w:r w:rsidRPr="00FA57F4">
                <w:rPr>
                  <w:rStyle w:val="Hyperlink"/>
                  <w:szCs w:val="20"/>
                </w:rPr>
                <w:t>Cochrane Partnership Policy</w:t>
              </w:r>
            </w:hyperlink>
            <w:r w:rsidRPr="00FA57F4">
              <w:rPr>
                <w:szCs w:val="20"/>
              </w:rPr>
              <w:t xml:space="preserve">, and the </w:t>
            </w:r>
            <w:hyperlink r:id="rId19" w:history="1">
              <w:r w:rsidRPr="00FA57F4">
                <w:rPr>
                  <w:rStyle w:val="Hyperlink"/>
                  <w:szCs w:val="20"/>
                </w:rPr>
                <w:t>Guidance for Partnership Development</w:t>
              </w:r>
            </w:hyperlink>
            <w:r w:rsidRPr="00FA57F4">
              <w:rPr>
                <w:szCs w:val="20"/>
              </w:rPr>
              <w:t xml:space="preserve">. A </w:t>
            </w:r>
            <w:hyperlink r:id="rId20" w:history="1">
              <w:r w:rsidRPr="00FA57F4">
                <w:rPr>
                  <w:rStyle w:val="Hyperlink"/>
                  <w:szCs w:val="20"/>
                </w:rPr>
                <w:t>dedicated space on the community website</w:t>
              </w:r>
            </w:hyperlink>
            <w:r w:rsidRPr="00FA57F4">
              <w:rPr>
                <w:szCs w:val="20"/>
              </w:rPr>
              <w:t xml:space="preserve"> has been developed to keep the Cochrane community informed about the key external partnerships that Cochrane is engaged in.</w:t>
            </w:r>
            <w:r w:rsidR="00B747BE">
              <w:rPr>
                <w:szCs w:val="20"/>
              </w:rPr>
              <w:t xml:space="preserve"> A full review of Cochrane’s partnership work and its existing and potential future partners will be conducted in 2020.</w:t>
            </w:r>
          </w:p>
          <w:p w14:paraId="0E5DAD43" w14:textId="5677B973" w:rsidR="007D527F" w:rsidRDefault="007D527F" w:rsidP="00381DF9">
            <w:pPr>
              <w:pStyle w:val="BodyText"/>
              <w:tabs>
                <w:tab w:val="left" w:pos="2760"/>
              </w:tabs>
              <w:spacing w:line="120" w:lineRule="auto"/>
            </w:pPr>
          </w:p>
        </w:tc>
      </w:tr>
    </w:tbl>
    <w:p w14:paraId="68164793" w14:textId="60C33258" w:rsidR="00FA57F4" w:rsidRDefault="00FA57F4" w:rsidP="00B05AB7">
      <w:pPr>
        <w:pStyle w:val="BodyText"/>
        <w:tabs>
          <w:tab w:val="left" w:pos="2760"/>
        </w:tabs>
      </w:pPr>
    </w:p>
    <w:p w14:paraId="3B6F4A5D" w14:textId="77777777" w:rsidR="00B747BE" w:rsidRDefault="00B747BE" w:rsidP="00B05AB7">
      <w:pPr>
        <w:pStyle w:val="BodyText"/>
        <w:tabs>
          <w:tab w:val="left" w:pos="2760"/>
        </w:tabs>
      </w:pPr>
    </w:p>
    <w:p w14:paraId="38BD9F34" w14:textId="77777777" w:rsidR="00FA57F4" w:rsidRDefault="00FA57F4" w:rsidP="00381DF9">
      <w:pPr>
        <w:pStyle w:val="BodyText"/>
        <w:rPr>
          <w:b/>
        </w:rPr>
      </w:pPr>
      <w:r>
        <w:rPr>
          <w:b/>
        </w:rPr>
        <w:t>3.8. GLOBAL IMPACT</w:t>
      </w:r>
    </w:p>
    <w:p w14:paraId="4C916FD8" w14:textId="3DD898C1" w:rsidR="00FA57F4" w:rsidRPr="00FA57F4" w:rsidRDefault="00FA57F4" w:rsidP="00381DF9">
      <w:pPr>
        <w:pStyle w:val="BodyText"/>
        <w:rPr>
          <w:b/>
        </w:rPr>
      </w:pPr>
      <w:r w:rsidRPr="005217F8">
        <w:t>We will demonstrate Cochrane’s value and impact to funders, users and other beneficiaries of our work.</w:t>
      </w:r>
    </w:p>
    <w:p w14:paraId="2F1BF74C" w14:textId="27DB6609" w:rsidR="00FA57F4" w:rsidRDefault="00FA57F4" w:rsidP="00B05AB7">
      <w:pPr>
        <w:pStyle w:val="BodyText"/>
        <w:tabs>
          <w:tab w:val="left" w:pos="2760"/>
        </w:tabs>
      </w:pPr>
    </w:p>
    <w:tbl>
      <w:tblPr>
        <w:tblStyle w:val="TableGrid"/>
        <w:tblW w:w="0" w:type="auto"/>
        <w:tblLook w:val="04A0" w:firstRow="1" w:lastRow="0" w:firstColumn="1" w:lastColumn="0" w:noHBand="0" w:noVBand="1"/>
      </w:tblPr>
      <w:tblGrid>
        <w:gridCol w:w="14560"/>
      </w:tblGrid>
      <w:tr w:rsidR="00A74CE1" w14:paraId="6661C232" w14:textId="77777777" w:rsidTr="00A74CE1">
        <w:tc>
          <w:tcPr>
            <w:tcW w:w="14560" w:type="dxa"/>
          </w:tcPr>
          <w:p w14:paraId="4A67C96B" w14:textId="4BEA8116" w:rsidR="00A74CE1" w:rsidRPr="00E13D26" w:rsidRDefault="00A74CE1" w:rsidP="00E13D26">
            <w:pPr>
              <w:pStyle w:val="Default"/>
              <w:rPr>
                <w:rFonts w:asciiTheme="majorHAnsi" w:hAnsiTheme="majorHAnsi"/>
                <w:sz w:val="20"/>
                <w:szCs w:val="20"/>
              </w:rPr>
            </w:pPr>
            <w:r w:rsidRPr="00E13D26">
              <w:rPr>
                <w:rFonts w:asciiTheme="majorHAnsi" w:hAnsiTheme="majorHAnsi"/>
                <w:sz w:val="20"/>
                <w:szCs w:val="20"/>
              </w:rPr>
              <w:t xml:space="preserve">In 2020, as we end the current strategy and prepare for the next strategic plan, there will be a specific focus on evaluation of the many </w:t>
            </w:r>
            <w:r w:rsidRPr="00E13D26">
              <w:rPr>
                <w:rFonts w:asciiTheme="majorHAnsi" w:hAnsiTheme="majorHAnsi"/>
                <w:i/>
                <w:iCs/>
                <w:sz w:val="20"/>
                <w:szCs w:val="20"/>
              </w:rPr>
              <w:t>Strategy to 2020</w:t>
            </w:r>
            <w:r w:rsidRPr="00E13D26">
              <w:rPr>
                <w:rFonts w:asciiTheme="majorHAnsi" w:hAnsiTheme="majorHAnsi"/>
                <w:sz w:val="20"/>
                <w:szCs w:val="20"/>
              </w:rPr>
              <w:t xml:space="preserve"> initiatives undertaken over the past seven years, and their value and impact to Cochrane’s internal and external stakeholders. </w:t>
            </w:r>
            <w:r w:rsidR="00E13D26" w:rsidRPr="00E13D26">
              <w:rPr>
                <w:rFonts w:asciiTheme="majorHAnsi" w:hAnsiTheme="majorHAnsi"/>
                <w:sz w:val="20"/>
                <w:szCs w:val="20"/>
              </w:rPr>
              <w:t xml:space="preserve">Our KT monitoring and evaluation work in 2020 will develop theories of change, evaluation plans and tools liaising with diverse stakeholders around the world that will support policy makers, practitioners, the public and researchers to use Cochrane evidence in policy and practice. </w:t>
            </w:r>
            <w:r w:rsidRPr="00E13D26">
              <w:rPr>
                <w:rFonts w:asciiTheme="majorHAnsi" w:hAnsiTheme="majorHAnsi"/>
                <w:sz w:val="20"/>
                <w:szCs w:val="20"/>
              </w:rPr>
              <w:t xml:space="preserve">Further, </w:t>
            </w:r>
            <w:r w:rsidR="00E13D26">
              <w:rPr>
                <w:rFonts w:asciiTheme="majorHAnsi" w:hAnsiTheme="majorHAnsi"/>
                <w:sz w:val="20"/>
                <w:szCs w:val="20"/>
              </w:rPr>
              <w:t xml:space="preserve">a </w:t>
            </w:r>
            <w:r w:rsidRPr="00E13D26">
              <w:rPr>
                <w:rFonts w:asciiTheme="majorHAnsi" w:hAnsiTheme="majorHAnsi"/>
                <w:sz w:val="20"/>
                <w:szCs w:val="20"/>
              </w:rPr>
              <w:t xml:space="preserve">monitoring and evaluation framework for </w:t>
            </w:r>
            <w:r w:rsidR="00E13D26">
              <w:rPr>
                <w:rFonts w:asciiTheme="majorHAnsi" w:hAnsiTheme="majorHAnsi"/>
                <w:sz w:val="20"/>
                <w:szCs w:val="20"/>
              </w:rPr>
              <w:t>Cochrane’s</w:t>
            </w:r>
            <w:r w:rsidRPr="00E13D26">
              <w:rPr>
                <w:rFonts w:asciiTheme="majorHAnsi" w:hAnsiTheme="majorHAnsi"/>
                <w:sz w:val="20"/>
                <w:szCs w:val="20"/>
              </w:rPr>
              <w:t xml:space="preserve"> </w:t>
            </w:r>
            <w:r w:rsidR="00E13D26" w:rsidRPr="00E13D26">
              <w:rPr>
                <w:rFonts w:asciiTheme="majorHAnsi" w:hAnsiTheme="majorHAnsi"/>
                <w:sz w:val="20"/>
                <w:szCs w:val="20"/>
              </w:rPr>
              <w:t xml:space="preserve">next strategic plan </w:t>
            </w:r>
            <w:r w:rsidRPr="00E13D26">
              <w:rPr>
                <w:rFonts w:asciiTheme="majorHAnsi" w:hAnsiTheme="majorHAnsi"/>
                <w:sz w:val="20"/>
                <w:szCs w:val="20"/>
              </w:rPr>
              <w:t>will be established.</w:t>
            </w:r>
          </w:p>
          <w:p w14:paraId="7BBEEB9C" w14:textId="1C67850B" w:rsidR="00A74CE1" w:rsidRDefault="00A74CE1" w:rsidP="00B05AB7">
            <w:pPr>
              <w:pStyle w:val="BodyText"/>
              <w:tabs>
                <w:tab w:val="left" w:pos="2760"/>
              </w:tabs>
            </w:pPr>
          </w:p>
        </w:tc>
      </w:tr>
    </w:tbl>
    <w:p w14:paraId="38AFDCEE" w14:textId="4DBB7432" w:rsidR="006E4E4A" w:rsidRPr="00310499" w:rsidRDefault="006E4E4A" w:rsidP="00B05AB7">
      <w:pPr>
        <w:pStyle w:val="BodyText"/>
        <w:tabs>
          <w:tab w:val="left" w:pos="2760"/>
        </w:tabs>
        <w:rPr>
          <w:sz w:val="28"/>
          <w:szCs w:val="28"/>
        </w:rPr>
      </w:pPr>
    </w:p>
    <w:tbl>
      <w:tblPr>
        <w:tblStyle w:val="TableGrid"/>
        <w:tblW w:w="14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59"/>
      </w:tblGrid>
      <w:tr w:rsidR="006E4E4A" w:rsidRPr="00C4076F" w14:paraId="4155B7C0" w14:textId="77777777" w:rsidTr="006435D2">
        <w:tc>
          <w:tcPr>
            <w:tcW w:w="14459" w:type="dxa"/>
            <w:shd w:val="clear" w:color="auto" w:fill="F0CEEE" w:themeFill="accent2" w:themeFillTint="33"/>
          </w:tcPr>
          <w:p w14:paraId="70A914A5" w14:textId="77777777" w:rsidR="006E4E4A" w:rsidRPr="00A30B76" w:rsidRDefault="006E4E4A" w:rsidP="001510A4">
            <w:pPr>
              <w:rPr>
                <w:rFonts w:asciiTheme="majorHAnsi" w:hAnsiTheme="majorHAnsi"/>
                <w:b/>
                <w:color w:val="002060"/>
              </w:rPr>
            </w:pPr>
          </w:p>
          <w:p w14:paraId="2189DFA6" w14:textId="77777777" w:rsidR="006E4E4A" w:rsidRPr="00C4076F" w:rsidRDefault="006E4E4A" w:rsidP="001510A4">
            <w:pPr>
              <w:rPr>
                <w:rFonts w:asciiTheme="majorHAnsi" w:hAnsiTheme="majorHAnsi"/>
                <w:b/>
                <w:color w:val="002060"/>
              </w:rPr>
            </w:pPr>
            <w:r w:rsidRPr="00C4076F">
              <w:rPr>
                <w:rFonts w:asciiTheme="majorHAnsi" w:hAnsiTheme="majorHAnsi"/>
                <w:b/>
                <w:color w:val="002060"/>
                <w:sz w:val="36"/>
                <w:szCs w:val="36"/>
              </w:rPr>
              <w:t>GOAL 4:  BUILDING AN EFFECTIVE &amp; SUSTAINABLE ORGANISATION</w:t>
            </w:r>
          </w:p>
        </w:tc>
      </w:tr>
      <w:tr w:rsidR="006E4E4A" w:rsidRPr="00C4076F" w14:paraId="4CA746B9" w14:textId="77777777" w:rsidTr="006435D2">
        <w:trPr>
          <w:trHeight w:val="80"/>
        </w:trPr>
        <w:tc>
          <w:tcPr>
            <w:tcW w:w="14459" w:type="dxa"/>
            <w:shd w:val="clear" w:color="auto" w:fill="F0CEEE" w:themeFill="accent2" w:themeFillTint="33"/>
          </w:tcPr>
          <w:p w14:paraId="10770F6E" w14:textId="77777777" w:rsidR="006E4E4A" w:rsidRPr="00A30B76" w:rsidRDefault="006E4E4A" w:rsidP="001510A4">
            <w:pPr>
              <w:jc w:val="both"/>
              <w:rPr>
                <w:rFonts w:asciiTheme="majorHAnsi" w:hAnsiTheme="majorHAnsi"/>
                <w:b/>
                <w:color w:val="002060"/>
                <w:sz w:val="28"/>
                <w:szCs w:val="28"/>
              </w:rPr>
            </w:pPr>
            <w:r w:rsidRPr="00A30B76">
              <w:rPr>
                <w:rFonts w:asciiTheme="majorHAnsi" w:hAnsiTheme="majorHAnsi"/>
                <w:b/>
                <w:color w:val="002060"/>
                <w:sz w:val="28"/>
                <w:szCs w:val="28"/>
              </w:rPr>
              <w:t>To be a diverse, inclusive and transparent international organisation that effectively harnesses the enthusiasm and skills of our contributors, is guided by our principles, governed accountably, managed efficiently and makes optimal use of its resources.</w:t>
            </w:r>
          </w:p>
          <w:p w14:paraId="429797CC" w14:textId="77777777" w:rsidR="006E4E4A" w:rsidRPr="00C4076F" w:rsidRDefault="006E4E4A" w:rsidP="001510A4">
            <w:pPr>
              <w:jc w:val="both"/>
              <w:rPr>
                <w:rFonts w:asciiTheme="majorHAnsi" w:hAnsiTheme="majorHAnsi"/>
              </w:rPr>
            </w:pPr>
          </w:p>
        </w:tc>
      </w:tr>
    </w:tbl>
    <w:p w14:paraId="7F3E9EDA" w14:textId="77777777" w:rsidR="00A74CE1" w:rsidRDefault="00A74CE1" w:rsidP="00B05AB7">
      <w:pPr>
        <w:pStyle w:val="BodyText"/>
        <w:tabs>
          <w:tab w:val="left" w:pos="2760"/>
        </w:tabs>
      </w:pPr>
    </w:p>
    <w:tbl>
      <w:tblPr>
        <w:tblStyle w:val="TableGridLight1"/>
        <w:tblW w:w="14454" w:type="dxa"/>
        <w:tblLook w:val="04A0" w:firstRow="1" w:lastRow="0" w:firstColumn="1" w:lastColumn="0" w:noHBand="0" w:noVBand="1"/>
      </w:tblPr>
      <w:tblGrid>
        <w:gridCol w:w="4815"/>
        <w:gridCol w:w="9639"/>
      </w:tblGrid>
      <w:tr w:rsidR="009F6247" w14:paraId="348584E6" w14:textId="77777777" w:rsidTr="004D5935">
        <w:tc>
          <w:tcPr>
            <w:tcW w:w="14454" w:type="dxa"/>
            <w:gridSpan w:val="2"/>
          </w:tcPr>
          <w:p w14:paraId="352ADA90" w14:textId="44096CD7" w:rsidR="009F6247" w:rsidRPr="00381DF9" w:rsidRDefault="009F6247" w:rsidP="009F6247">
            <w:pPr>
              <w:pStyle w:val="LongSubtitle"/>
              <w:rPr>
                <w:b/>
                <w:bCs/>
              </w:rPr>
            </w:pPr>
            <w:r w:rsidRPr="00381DF9">
              <w:rPr>
                <w:b/>
                <w:bCs/>
              </w:rPr>
              <w:t xml:space="preserve">TARGET 5: </w:t>
            </w:r>
            <w:r w:rsidR="006435D2" w:rsidRPr="00381DF9">
              <w:rPr>
                <w:b/>
                <w:bCs/>
              </w:rPr>
              <w:t xml:space="preserve">DEVELOPMENT AND LAUNCH OF A NEW ORGANIZATIONAL STRATEGIC PLAN </w:t>
            </w:r>
          </w:p>
          <w:p w14:paraId="672CF1A5" w14:textId="77777777" w:rsidR="00381DF9" w:rsidRDefault="00381DF9" w:rsidP="006435D2">
            <w:pPr>
              <w:pStyle w:val="BodyText"/>
              <w:rPr>
                <w:rFonts w:asciiTheme="minorHAnsi" w:hAnsiTheme="minorHAnsi"/>
              </w:rPr>
            </w:pPr>
          </w:p>
          <w:p w14:paraId="17FEC6AF" w14:textId="7FCC9995" w:rsidR="009F6247" w:rsidRPr="00310499" w:rsidRDefault="006435D2" w:rsidP="006435D2">
            <w:pPr>
              <w:pStyle w:val="BodyText"/>
              <w:rPr>
                <w:rFonts w:asciiTheme="minorHAnsi" w:hAnsiTheme="minorHAnsi"/>
                <w:sz w:val="22"/>
              </w:rPr>
            </w:pPr>
            <w:r w:rsidRPr="00310499">
              <w:rPr>
                <w:rFonts w:asciiTheme="minorHAnsi" w:hAnsiTheme="minorHAnsi"/>
                <w:sz w:val="22"/>
              </w:rPr>
              <w:t>In 2020, a new strategic framework and plan will be developed and launched, setting out Cochrane’s priorities and decision-making framework from 2021 onwards</w:t>
            </w:r>
            <w:r w:rsidR="00A74CE1" w:rsidRPr="00310499">
              <w:rPr>
                <w:rFonts w:asciiTheme="minorHAnsi" w:hAnsiTheme="minorHAnsi"/>
                <w:sz w:val="22"/>
              </w:rPr>
              <w:t>.</w:t>
            </w:r>
          </w:p>
          <w:p w14:paraId="42C90304" w14:textId="480F8F71" w:rsidR="009F6247" w:rsidRPr="00310499" w:rsidRDefault="009F6247" w:rsidP="00310499">
            <w:pPr>
              <w:pStyle w:val="LongSubtitle"/>
              <w:spacing w:line="240" w:lineRule="auto"/>
              <w:rPr>
                <w:b/>
                <w:color w:val="962D91"/>
                <w:sz w:val="22"/>
                <w:szCs w:val="22"/>
              </w:rPr>
            </w:pPr>
          </w:p>
        </w:tc>
      </w:tr>
      <w:tr w:rsidR="009F6247" w14:paraId="3D7B0B63" w14:textId="77777777" w:rsidTr="004D5935">
        <w:tc>
          <w:tcPr>
            <w:tcW w:w="4815" w:type="dxa"/>
            <w:shd w:val="clear" w:color="auto" w:fill="F0CEEE" w:themeFill="background2" w:themeFillTint="33"/>
          </w:tcPr>
          <w:p w14:paraId="01483A3C" w14:textId="77777777" w:rsidR="009F6247" w:rsidRPr="004D5935" w:rsidRDefault="009F6247" w:rsidP="001510A4">
            <w:pPr>
              <w:pStyle w:val="BodyText"/>
              <w:rPr>
                <w:b/>
              </w:rPr>
            </w:pPr>
            <w:r w:rsidRPr="004D5935">
              <w:rPr>
                <w:b/>
              </w:rPr>
              <w:t xml:space="preserve">Contributes to </w:t>
            </w:r>
            <w:r w:rsidRPr="004D5935">
              <w:rPr>
                <w:b/>
                <w:i/>
              </w:rPr>
              <w:t>Strategy to 2020</w:t>
            </w:r>
            <w:r w:rsidRPr="004D5935">
              <w:rPr>
                <w:b/>
              </w:rPr>
              <w:t xml:space="preserve"> Objective(s):</w:t>
            </w:r>
          </w:p>
          <w:p w14:paraId="4AEEB8A2" w14:textId="77777777" w:rsidR="009F6247" w:rsidRPr="004D5935" w:rsidRDefault="009F6247" w:rsidP="001510A4">
            <w:pPr>
              <w:pStyle w:val="BodyText"/>
              <w:rPr>
                <w:b/>
              </w:rPr>
            </w:pPr>
          </w:p>
        </w:tc>
        <w:tc>
          <w:tcPr>
            <w:tcW w:w="9639" w:type="dxa"/>
          </w:tcPr>
          <w:p w14:paraId="55A1DBD3" w14:textId="22F19B87" w:rsidR="009F6247" w:rsidRPr="006435D2" w:rsidRDefault="006435D2" w:rsidP="001510A4">
            <w:pPr>
              <w:pStyle w:val="BodyText"/>
            </w:pPr>
            <w:r w:rsidRPr="006435D2">
              <w:t xml:space="preserve">This will be a new strategic </w:t>
            </w:r>
            <w:r>
              <w:t>framework and plan</w:t>
            </w:r>
            <w:r w:rsidR="00A74CE1">
              <w:t>.</w:t>
            </w:r>
          </w:p>
        </w:tc>
      </w:tr>
      <w:tr w:rsidR="009F6247" w14:paraId="6C2C03C9" w14:textId="77777777" w:rsidTr="004D5935">
        <w:tc>
          <w:tcPr>
            <w:tcW w:w="4815" w:type="dxa"/>
            <w:shd w:val="clear" w:color="auto" w:fill="F0CEEE" w:themeFill="background2" w:themeFillTint="33"/>
          </w:tcPr>
          <w:p w14:paraId="3470B7B9" w14:textId="77777777" w:rsidR="009F6247" w:rsidRPr="004D5935" w:rsidRDefault="009F6247" w:rsidP="001510A4">
            <w:pPr>
              <w:pStyle w:val="BodyText"/>
              <w:rPr>
                <w:b/>
              </w:rPr>
            </w:pPr>
            <w:r w:rsidRPr="004D5935">
              <w:rPr>
                <w:b/>
              </w:rPr>
              <w:t>Background</w:t>
            </w:r>
          </w:p>
        </w:tc>
        <w:tc>
          <w:tcPr>
            <w:tcW w:w="9639" w:type="dxa"/>
          </w:tcPr>
          <w:p w14:paraId="67C91B9A" w14:textId="4D62475A" w:rsidR="009F6247" w:rsidRDefault="006435D2" w:rsidP="001510A4">
            <w:pPr>
              <w:pStyle w:val="BodyText"/>
            </w:pPr>
            <w:r>
              <w:t xml:space="preserve">Cochrane’s </w:t>
            </w:r>
            <w:r w:rsidRPr="006435D2">
              <w:rPr>
                <w:i/>
              </w:rPr>
              <w:t>Strategy to 2020</w:t>
            </w:r>
            <w:r>
              <w:t xml:space="preserve"> was designed as a time-limited plan for organizational transformation. The next strategic plan will build on, prioritize and – where appropriate – amend the priorities of </w:t>
            </w:r>
            <w:r w:rsidRPr="006435D2">
              <w:rPr>
                <w:i/>
              </w:rPr>
              <w:t>Strategy to 2020</w:t>
            </w:r>
            <w:r>
              <w:t xml:space="preserve">, preparing the organization to meet its mission from 2021 onwards. </w:t>
            </w:r>
          </w:p>
          <w:p w14:paraId="2934DDC1" w14:textId="77777777" w:rsidR="009F6247" w:rsidRPr="000F40A7" w:rsidRDefault="009F6247" w:rsidP="001510A4">
            <w:pPr>
              <w:pStyle w:val="BodyText"/>
            </w:pPr>
          </w:p>
        </w:tc>
      </w:tr>
      <w:tr w:rsidR="009F6247" w14:paraId="7F150806" w14:textId="77777777" w:rsidTr="004D5935">
        <w:tc>
          <w:tcPr>
            <w:tcW w:w="4815" w:type="dxa"/>
            <w:shd w:val="clear" w:color="auto" w:fill="F0CEEE" w:themeFill="background2" w:themeFillTint="33"/>
          </w:tcPr>
          <w:p w14:paraId="6F9A2B94" w14:textId="77777777" w:rsidR="009F6247" w:rsidRPr="004D5935" w:rsidRDefault="009F6247" w:rsidP="001510A4">
            <w:pPr>
              <w:pStyle w:val="BodyText"/>
              <w:rPr>
                <w:b/>
              </w:rPr>
            </w:pPr>
            <w:r w:rsidRPr="004D5935">
              <w:rPr>
                <w:b/>
              </w:rPr>
              <w:t xml:space="preserve">Rationale for the Target in 2020: </w:t>
            </w:r>
          </w:p>
        </w:tc>
        <w:tc>
          <w:tcPr>
            <w:tcW w:w="9639" w:type="dxa"/>
          </w:tcPr>
          <w:p w14:paraId="4906C5EE" w14:textId="076EBD95" w:rsidR="009F6247" w:rsidRDefault="006435D2" w:rsidP="001510A4">
            <w:pPr>
              <w:pStyle w:val="BodyText"/>
            </w:pPr>
            <w:r>
              <w:t xml:space="preserve">A new strategic framework and plan beginning from January 2021 is critical for the organization. </w:t>
            </w:r>
          </w:p>
          <w:p w14:paraId="368863A5" w14:textId="77777777" w:rsidR="006435D2" w:rsidRDefault="006435D2" w:rsidP="001510A4">
            <w:pPr>
              <w:pStyle w:val="BodyText"/>
            </w:pPr>
          </w:p>
          <w:p w14:paraId="23E40EB5" w14:textId="77777777" w:rsidR="009F6247" w:rsidRPr="000F40A7" w:rsidRDefault="009F6247" w:rsidP="001510A4">
            <w:pPr>
              <w:pStyle w:val="BodyText"/>
            </w:pPr>
          </w:p>
        </w:tc>
      </w:tr>
      <w:tr w:rsidR="009F6247" w14:paraId="1F92EF74" w14:textId="77777777" w:rsidTr="004D5935">
        <w:tc>
          <w:tcPr>
            <w:tcW w:w="4815" w:type="dxa"/>
            <w:shd w:val="clear" w:color="auto" w:fill="F0CEEE" w:themeFill="background2" w:themeFillTint="33"/>
          </w:tcPr>
          <w:p w14:paraId="64E1B8F3" w14:textId="77777777" w:rsidR="009F6247" w:rsidRPr="004D5935" w:rsidRDefault="009F6247" w:rsidP="001510A4">
            <w:pPr>
              <w:pStyle w:val="BodyText"/>
              <w:rPr>
                <w:b/>
              </w:rPr>
            </w:pPr>
            <w:r w:rsidRPr="004D5935">
              <w:rPr>
                <w:b/>
              </w:rPr>
              <w:lastRenderedPageBreak/>
              <w:t>Desired outcomes</w:t>
            </w:r>
          </w:p>
        </w:tc>
        <w:tc>
          <w:tcPr>
            <w:tcW w:w="9639" w:type="dxa"/>
          </w:tcPr>
          <w:p w14:paraId="274A6817" w14:textId="61E27E20" w:rsidR="009F6247" w:rsidRDefault="006435D2" w:rsidP="00317D13">
            <w:pPr>
              <w:pStyle w:val="BodyText"/>
              <w:numPr>
                <w:ilvl w:val="0"/>
                <w:numId w:val="13"/>
              </w:numPr>
            </w:pPr>
            <w:r>
              <w:t xml:space="preserve">A new strategic framework and plan that build on the learning of </w:t>
            </w:r>
            <w:r w:rsidRPr="006435D2">
              <w:rPr>
                <w:i/>
              </w:rPr>
              <w:t>Strategy to 2020</w:t>
            </w:r>
            <w:r>
              <w:t xml:space="preserve"> and support the organization to meets its mission from 2021 onwards. </w:t>
            </w:r>
          </w:p>
          <w:p w14:paraId="490D877D" w14:textId="6A34D898" w:rsidR="006435D2" w:rsidRDefault="006435D2" w:rsidP="00317D13">
            <w:pPr>
              <w:pStyle w:val="BodyText"/>
              <w:numPr>
                <w:ilvl w:val="0"/>
                <w:numId w:val="13"/>
              </w:numPr>
            </w:pPr>
            <w:r>
              <w:t xml:space="preserve">Improved strategic and operational planning, monitoring and evaluation processes. </w:t>
            </w:r>
          </w:p>
          <w:p w14:paraId="299DA36A" w14:textId="6C87F04D" w:rsidR="006435D2" w:rsidRPr="000F40A7" w:rsidRDefault="006435D2" w:rsidP="006435D2">
            <w:pPr>
              <w:pStyle w:val="BodyText"/>
            </w:pPr>
          </w:p>
        </w:tc>
      </w:tr>
      <w:tr w:rsidR="009F6247" w14:paraId="4DD50344" w14:textId="77777777" w:rsidTr="004D5935">
        <w:tc>
          <w:tcPr>
            <w:tcW w:w="4815" w:type="dxa"/>
            <w:shd w:val="clear" w:color="auto" w:fill="F0CEEE" w:themeFill="background2" w:themeFillTint="33"/>
          </w:tcPr>
          <w:p w14:paraId="62F8F5BA" w14:textId="77777777" w:rsidR="009F6247" w:rsidRPr="004D5935" w:rsidRDefault="009F6247" w:rsidP="001510A4">
            <w:pPr>
              <w:pStyle w:val="BodyText"/>
              <w:rPr>
                <w:b/>
              </w:rPr>
            </w:pPr>
            <w:r w:rsidRPr="004D5935">
              <w:rPr>
                <w:b/>
              </w:rPr>
              <w:t>Planned outputs by the end of 2020</w:t>
            </w:r>
          </w:p>
        </w:tc>
        <w:tc>
          <w:tcPr>
            <w:tcW w:w="9639" w:type="dxa"/>
          </w:tcPr>
          <w:p w14:paraId="44DCA9BA" w14:textId="2C78FD75" w:rsidR="004D5935" w:rsidRDefault="004D5935" w:rsidP="00317D13">
            <w:pPr>
              <w:pStyle w:val="BodyText"/>
              <w:numPr>
                <w:ilvl w:val="0"/>
                <w:numId w:val="14"/>
              </w:numPr>
            </w:pPr>
            <w:r>
              <w:t xml:space="preserve">An internal and external evaluation of the </w:t>
            </w:r>
            <w:r w:rsidRPr="004D5935">
              <w:rPr>
                <w:i/>
              </w:rPr>
              <w:t>Strategy to 2020</w:t>
            </w:r>
          </w:p>
          <w:p w14:paraId="38A033F7" w14:textId="01F4C6A5" w:rsidR="004D5935" w:rsidRDefault="004D5935" w:rsidP="00317D13">
            <w:pPr>
              <w:pStyle w:val="BodyText"/>
              <w:numPr>
                <w:ilvl w:val="0"/>
                <w:numId w:val="14"/>
              </w:numPr>
            </w:pPr>
            <w:r>
              <w:t>An internal stakeholder consultation at the Governance Meetings in Manchester, April 2020</w:t>
            </w:r>
          </w:p>
          <w:p w14:paraId="5E727F74" w14:textId="26755593" w:rsidR="004D5935" w:rsidRDefault="004D5935" w:rsidP="00317D13">
            <w:pPr>
              <w:pStyle w:val="BodyText"/>
              <w:numPr>
                <w:ilvl w:val="0"/>
                <w:numId w:val="14"/>
              </w:numPr>
            </w:pPr>
            <w:r>
              <w:t>A new strategic framework, with a re-assessed vision and mission, decision-making framework, and prioritized objectives</w:t>
            </w:r>
          </w:p>
          <w:p w14:paraId="7E60B3A1" w14:textId="0B13A621" w:rsidR="004D5935" w:rsidRDefault="004D5935" w:rsidP="00317D13">
            <w:pPr>
              <w:pStyle w:val="BodyText"/>
              <w:numPr>
                <w:ilvl w:val="0"/>
                <w:numId w:val="14"/>
              </w:numPr>
            </w:pPr>
            <w:r>
              <w:t xml:space="preserve">Launch of a new strategic decision-making framework </w:t>
            </w:r>
            <w:r w:rsidR="007C24D7">
              <w:t xml:space="preserve">and plans </w:t>
            </w:r>
            <w:r>
              <w:t>at the Toronto Colloquium</w:t>
            </w:r>
            <w:r w:rsidR="00310499">
              <w:t>, October 2020</w:t>
            </w:r>
          </w:p>
          <w:p w14:paraId="05193FC6" w14:textId="58B1B578" w:rsidR="004D5935" w:rsidRDefault="004D5935" w:rsidP="00317D13">
            <w:pPr>
              <w:pStyle w:val="BodyText"/>
              <w:numPr>
                <w:ilvl w:val="0"/>
                <w:numId w:val="14"/>
              </w:numPr>
            </w:pPr>
            <w:r>
              <w:t xml:space="preserve">New strategic and operational planning, monitoring and evaluation processes and resources </w:t>
            </w:r>
          </w:p>
          <w:p w14:paraId="1E2A0A2C" w14:textId="77777777" w:rsidR="009F6247" w:rsidRPr="000F40A7" w:rsidRDefault="009F6247" w:rsidP="004D5935">
            <w:pPr>
              <w:pStyle w:val="BodyText"/>
              <w:ind w:left="720"/>
            </w:pPr>
          </w:p>
        </w:tc>
      </w:tr>
    </w:tbl>
    <w:p w14:paraId="30A6121B" w14:textId="77777777" w:rsidR="003C32AE" w:rsidRDefault="003C32AE" w:rsidP="00A07758">
      <w:pPr>
        <w:pStyle w:val="BodyText"/>
      </w:pPr>
    </w:p>
    <w:sectPr w:rsidR="003C32AE" w:rsidSect="00A94D46">
      <w:headerReference w:type="default" r:id="rId21"/>
      <w:footerReference w:type="default" r:id="rId22"/>
      <w:pgSz w:w="16838" w:h="11906" w:orient="landscape" w:code="9"/>
      <w:pgMar w:top="1134" w:right="1134" w:bottom="1134" w:left="1134"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5BA58D" w14:textId="77777777" w:rsidR="004B13CC" w:rsidRDefault="004B13CC" w:rsidP="001440A0">
      <w:r>
        <w:separator/>
      </w:r>
    </w:p>
  </w:endnote>
  <w:endnote w:type="continuationSeparator" w:id="0">
    <w:p w14:paraId="615A51DC" w14:textId="77777777" w:rsidR="004B13CC" w:rsidRDefault="004B13CC" w:rsidP="00144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ource Sans Pro Semibold">
    <w:panose1 w:val="020B0603030403020204"/>
    <w:charset w:val="4D"/>
    <w:family w:val="swiss"/>
    <w:notTrueType/>
    <w:pitch w:val="variable"/>
    <w:sig w:usb0="20000007" w:usb1="00000001" w:usb2="00000000" w:usb3="00000000" w:csb0="00000193" w:csb1="00000000"/>
  </w:font>
  <w:font w:name="Source Sans Pro">
    <w:panose1 w:val="020B0503030403020204"/>
    <w:charset w:val="4D"/>
    <w:family w:val="swiss"/>
    <w:notTrueType/>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0000000000000000000"/>
    <w:charset w:val="00"/>
    <w:family w:val="swiss"/>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7334786"/>
      <w:docPartObj>
        <w:docPartGallery w:val="Page Numbers (Bottom of Page)"/>
        <w:docPartUnique/>
      </w:docPartObj>
    </w:sdtPr>
    <w:sdtEndPr>
      <w:rPr>
        <w:noProof/>
      </w:rPr>
    </w:sdtEndPr>
    <w:sdtContent>
      <w:p w14:paraId="24BFCB00" w14:textId="77777777" w:rsidR="00826158" w:rsidRDefault="00826158">
        <w:pPr>
          <w:pStyle w:val="Footer"/>
          <w:jc w:val="right"/>
        </w:pPr>
        <w:r>
          <w:fldChar w:fldCharType="begin"/>
        </w:r>
        <w:r>
          <w:instrText xml:space="preserve"> PAGE   \* MERGEFORMAT </w:instrText>
        </w:r>
        <w:r>
          <w:fldChar w:fldCharType="separate"/>
        </w:r>
        <w:r>
          <w:rPr>
            <w:noProof/>
          </w:rPr>
          <w:t>18</w:t>
        </w:r>
        <w:r>
          <w:rPr>
            <w:noProof/>
          </w:rPr>
          <w:fldChar w:fldCharType="end"/>
        </w:r>
      </w:p>
    </w:sdtContent>
  </w:sdt>
  <w:p w14:paraId="6CDB7339" w14:textId="77777777" w:rsidR="00826158" w:rsidRPr="00AF213C" w:rsidRDefault="00826158" w:rsidP="00AF213C">
    <w:pPr>
      <w:widowControl w:val="0"/>
      <w:autoSpaceDE w:val="0"/>
      <w:autoSpaceDN w:val="0"/>
      <w:adjustRightInd w:val="0"/>
      <w:rPr>
        <w:rFonts w:ascii="Source Sans Pro" w:hAnsi="Source Sans Pro" w:cs="Source Sans Pro"/>
        <w:color w:val="002D64" w:themeColor="text2"/>
        <w:sz w:val="14"/>
        <w:szCs w:val="1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D1FBCB" w14:textId="77777777" w:rsidR="004B13CC" w:rsidRDefault="004B13CC" w:rsidP="001440A0">
      <w:r>
        <w:separator/>
      </w:r>
    </w:p>
  </w:footnote>
  <w:footnote w:type="continuationSeparator" w:id="0">
    <w:p w14:paraId="2B8E7871" w14:textId="77777777" w:rsidR="004B13CC" w:rsidRDefault="004B13CC" w:rsidP="001440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6535B" w14:textId="4409AFCF" w:rsidR="00826158" w:rsidRDefault="00826158" w:rsidP="00373889">
    <w:pPr>
      <w:pStyle w:val="BodyText"/>
      <w:jc w:val="right"/>
    </w:pPr>
    <w:r>
      <w:t>[Open Access]</w:t>
    </w:r>
  </w:p>
  <w:p w14:paraId="4218D8F2" w14:textId="77777777" w:rsidR="00826158" w:rsidRDefault="00826158" w:rsidP="00FF7A07">
    <w:pPr>
      <w:pStyle w:val="LongTitle"/>
    </w:pPr>
  </w:p>
  <w:p w14:paraId="4E47A4BD" w14:textId="77777777" w:rsidR="00826158" w:rsidRDefault="00826158" w:rsidP="00FF7A07">
    <w:pPr>
      <w:pStyle w:val="LongTitle"/>
    </w:pPr>
  </w:p>
  <w:p w14:paraId="2D87C4EC" w14:textId="77777777" w:rsidR="00826158" w:rsidRDefault="008261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51DDC" w14:textId="77777777" w:rsidR="00826158" w:rsidRPr="00604B05" w:rsidRDefault="00826158" w:rsidP="009B47FC">
    <w:pPr>
      <w:pStyle w:val="Header"/>
      <w:pBdr>
        <w:top w:val="single" w:sz="4" w:space="1" w:color="696969" w:themeColor="accent3"/>
      </w:pBdr>
      <w:tabs>
        <w:tab w:val="clear" w:pos="4513"/>
        <w:tab w:val="clear" w:pos="9026"/>
        <w:tab w:val="right" w:pos="9639"/>
      </w:tabs>
      <w:spacing w:line="200" w:lineRule="exact"/>
      <w:rPr>
        <w:rFonts w:asciiTheme="majorHAnsi" w:hAnsiTheme="majorHAnsi"/>
        <w:b/>
        <w:color w:val="002D64" w:themeColor="text2"/>
        <w:sz w:val="20"/>
        <w:szCs w:val="20"/>
      </w:rPr>
    </w:pPr>
    <w:r w:rsidRPr="00604B05">
      <w:rPr>
        <w:rFonts w:asciiTheme="majorHAnsi" w:hAnsiTheme="majorHAnsi"/>
        <w:b/>
        <w:color w:val="002D64" w:themeColor="text2"/>
        <w:sz w:val="20"/>
        <w:szCs w:val="20"/>
      </w:rPr>
      <w:tab/>
    </w:r>
    <w:r>
      <w:rPr>
        <w:rFonts w:asciiTheme="majorHAnsi" w:hAnsiTheme="majorHAnsi"/>
        <w:b/>
        <w:color w:val="002D64" w:themeColor="text2"/>
        <w:sz w:val="20"/>
        <w:szCs w:val="20"/>
      </w:rPr>
      <w:t>[OPEN ACCESS]</w:t>
    </w:r>
    <w:r>
      <w:rPr>
        <w:rFonts w:asciiTheme="majorHAnsi" w:hAnsiTheme="majorHAnsi"/>
        <w:b/>
        <w:noProof/>
        <w:color w:val="002D64" w:themeColor="text2"/>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9013F"/>
    <w:multiLevelType w:val="hybridMultilevel"/>
    <w:tmpl w:val="F82A3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9A29F0"/>
    <w:multiLevelType w:val="hybridMultilevel"/>
    <w:tmpl w:val="35A2F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EC07E3"/>
    <w:multiLevelType w:val="hybridMultilevel"/>
    <w:tmpl w:val="616E58A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0610369D"/>
    <w:multiLevelType w:val="hybridMultilevel"/>
    <w:tmpl w:val="A84E5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037867"/>
    <w:multiLevelType w:val="hybridMultilevel"/>
    <w:tmpl w:val="A732D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444162"/>
    <w:multiLevelType w:val="hybridMultilevel"/>
    <w:tmpl w:val="28E8A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D1425F"/>
    <w:multiLevelType w:val="hybridMultilevel"/>
    <w:tmpl w:val="E3EA1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1E098E"/>
    <w:multiLevelType w:val="hybridMultilevel"/>
    <w:tmpl w:val="93327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4A6F6A"/>
    <w:multiLevelType w:val="hybridMultilevel"/>
    <w:tmpl w:val="0764F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38384B"/>
    <w:multiLevelType w:val="hybridMultilevel"/>
    <w:tmpl w:val="896A42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0E31346"/>
    <w:multiLevelType w:val="hybridMultilevel"/>
    <w:tmpl w:val="13481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B24E98"/>
    <w:multiLevelType w:val="hybridMultilevel"/>
    <w:tmpl w:val="B152406A"/>
    <w:lvl w:ilvl="0" w:tplc="04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0C6D98"/>
    <w:multiLevelType w:val="hybridMultilevel"/>
    <w:tmpl w:val="3B1E4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FB0348"/>
    <w:multiLevelType w:val="hybridMultilevel"/>
    <w:tmpl w:val="F7E23BCA"/>
    <w:lvl w:ilvl="0" w:tplc="129EB860">
      <w:start w:val="1"/>
      <w:numFmt w:val="bullet"/>
      <w:lvlText w:val=""/>
      <w:lvlJc w:val="left"/>
      <w:pPr>
        <w:ind w:left="720" w:hanging="360"/>
      </w:pPr>
      <w:rPr>
        <w:rFonts w:ascii="Symbol" w:hAnsi="Symbol" w:hint="default"/>
        <w:color w:val="404040" w:themeColor="text1" w:themeTint="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A603A4"/>
    <w:multiLevelType w:val="hybridMultilevel"/>
    <w:tmpl w:val="969A0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9D4E1A"/>
    <w:multiLevelType w:val="hybridMultilevel"/>
    <w:tmpl w:val="2F94A79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52C941E5"/>
    <w:multiLevelType w:val="hybridMultilevel"/>
    <w:tmpl w:val="755A98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593558"/>
    <w:multiLevelType w:val="hybridMultilevel"/>
    <w:tmpl w:val="51884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FD4088"/>
    <w:multiLevelType w:val="hybridMultilevel"/>
    <w:tmpl w:val="DF14C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624A3B"/>
    <w:multiLevelType w:val="hybridMultilevel"/>
    <w:tmpl w:val="E7B00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971CE9"/>
    <w:multiLevelType w:val="hybridMultilevel"/>
    <w:tmpl w:val="914A5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1D3563"/>
    <w:multiLevelType w:val="hybridMultilevel"/>
    <w:tmpl w:val="C226C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050EB1"/>
    <w:multiLevelType w:val="hybridMultilevel"/>
    <w:tmpl w:val="9CB2B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B73170"/>
    <w:multiLevelType w:val="hybridMultilevel"/>
    <w:tmpl w:val="A3765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3B60D3"/>
    <w:multiLevelType w:val="hybridMultilevel"/>
    <w:tmpl w:val="910AC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22"/>
  </w:num>
  <w:num w:numId="4">
    <w:abstractNumId w:val="9"/>
  </w:num>
  <w:num w:numId="5">
    <w:abstractNumId w:val="0"/>
  </w:num>
  <w:num w:numId="6">
    <w:abstractNumId w:val="5"/>
  </w:num>
  <w:num w:numId="7">
    <w:abstractNumId w:val="21"/>
  </w:num>
  <w:num w:numId="8">
    <w:abstractNumId w:val="17"/>
  </w:num>
  <w:num w:numId="9">
    <w:abstractNumId w:val="19"/>
  </w:num>
  <w:num w:numId="10">
    <w:abstractNumId w:val="7"/>
  </w:num>
  <w:num w:numId="11">
    <w:abstractNumId w:val="23"/>
  </w:num>
  <w:num w:numId="12">
    <w:abstractNumId w:val="18"/>
  </w:num>
  <w:num w:numId="13">
    <w:abstractNumId w:val="1"/>
  </w:num>
  <w:num w:numId="14">
    <w:abstractNumId w:val="3"/>
  </w:num>
  <w:num w:numId="15">
    <w:abstractNumId w:val="10"/>
  </w:num>
  <w:num w:numId="16">
    <w:abstractNumId w:val="24"/>
  </w:num>
  <w:num w:numId="17">
    <w:abstractNumId w:val="15"/>
  </w:num>
  <w:num w:numId="18">
    <w:abstractNumId w:val="16"/>
  </w:num>
  <w:num w:numId="19">
    <w:abstractNumId w:val="2"/>
  </w:num>
  <w:num w:numId="20">
    <w:abstractNumId w:val="12"/>
  </w:num>
  <w:num w:numId="21">
    <w:abstractNumId w:val="11"/>
  </w:num>
  <w:num w:numId="22">
    <w:abstractNumId w:val="6"/>
  </w:num>
  <w:num w:numId="23">
    <w:abstractNumId w:val="20"/>
  </w:num>
  <w:num w:numId="24">
    <w:abstractNumId w:val="14"/>
  </w:num>
  <w:num w:numId="25">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1"/>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24B"/>
    <w:rsid w:val="00000B0C"/>
    <w:rsid w:val="00002ED8"/>
    <w:rsid w:val="00006B4C"/>
    <w:rsid w:val="00020732"/>
    <w:rsid w:val="0002087F"/>
    <w:rsid w:val="00021D7E"/>
    <w:rsid w:val="00024E2A"/>
    <w:rsid w:val="00030413"/>
    <w:rsid w:val="00031FB9"/>
    <w:rsid w:val="00036DE5"/>
    <w:rsid w:val="000378F3"/>
    <w:rsid w:val="00051B9F"/>
    <w:rsid w:val="00052195"/>
    <w:rsid w:val="0005516B"/>
    <w:rsid w:val="000558A8"/>
    <w:rsid w:val="000569C2"/>
    <w:rsid w:val="000713B3"/>
    <w:rsid w:val="00073DCD"/>
    <w:rsid w:val="0007407F"/>
    <w:rsid w:val="000745D5"/>
    <w:rsid w:val="00081032"/>
    <w:rsid w:val="00092676"/>
    <w:rsid w:val="0009414F"/>
    <w:rsid w:val="00094297"/>
    <w:rsid w:val="000952BD"/>
    <w:rsid w:val="000A087D"/>
    <w:rsid w:val="000A4F66"/>
    <w:rsid w:val="000B3FB4"/>
    <w:rsid w:val="000B735F"/>
    <w:rsid w:val="000C0B80"/>
    <w:rsid w:val="000C13C3"/>
    <w:rsid w:val="000C4321"/>
    <w:rsid w:val="000D1C6B"/>
    <w:rsid w:val="000D2ADE"/>
    <w:rsid w:val="000D3255"/>
    <w:rsid w:val="000D34B2"/>
    <w:rsid w:val="000D52A1"/>
    <w:rsid w:val="000D6A53"/>
    <w:rsid w:val="000E6C69"/>
    <w:rsid w:val="000F0A43"/>
    <w:rsid w:val="000F2CF1"/>
    <w:rsid w:val="000F40A7"/>
    <w:rsid w:val="00104E65"/>
    <w:rsid w:val="001240F6"/>
    <w:rsid w:val="00124C05"/>
    <w:rsid w:val="00135FDD"/>
    <w:rsid w:val="0014375D"/>
    <w:rsid w:val="001440A0"/>
    <w:rsid w:val="00160E5E"/>
    <w:rsid w:val="00163AC7"/>
    <w:rsid w:val="00164A4D"/>
    <w:rsid w:val="001725A2"/>
    <w:rsid w:val="001A1371"/>
    <w:rsid w:val="001A6C76"/>
    <w:rsid w:val="001C01E9"/>
    <w:rsid w:val="001C666C"/>
    <w:rsid w:val="001D690F"/>
    <w:rsid w:val="001E1CA5"/>
    <w:rsid w:val="001E3F92"/>
    <w:rsid w:val="001E7D16"/>
    <w:rsid w:val="001F391A"/>
    <w:rsid w:val="00205548"/>
    <w:rsid w:val="00212047"/>
    <w:rsid w:val="00212AE8"/>
    <w:rsid w:val="002166EF"/>
    <w:rsid w:val="00221041"/>
    <w:rsid w:val="00222231"/>
    <w:rsid w:val="00224430"/>
    <w:rsid w:val="002306E6"/>
    <w:rsid w:val="00232C16"/>
    <w:rsid w:val="002346A9"/>
    <w:rsid w:val="00234D6A"/>
    <w:rsid w:val="00241D85"/>
    <w:rsid w:val="00243789"/>
    <w:rsid w:val="00244539"/>
    <w:rsid w:val="002449FE"/>
    <w:rsid w:val="00246B15"/>
    <w:rsid w:val="002638DD"/>
    <w:rsid w:val="0027153E"/>
    <w:rsid w:val="00275CAC"/>
    <w:rsid w:val="00280D97"/>
    <w:rsid w:val="0028115A"/>
    <w:rsid w:val="00287DB4"/>
    <w:rsid w:val="00293B6B"/>
    <w:rsid w:val="00295DD5"/>
    <w:rsid w:val="00297B68"/>
    <w:rsid w:val="002A1033"/>
    <w:rsid w:val="002A5974"/>
    <w:rsid w:val="002A6486"/>
    <w:rsid w:val="002B5453"/>
    <w:rsid w:val="002C00B0"/>
    <w:rsid w:val="002D0F75"/>
    <w:rsid w:val="002E0D92"/>
    <w:rsid w:val="002E2085"/>
    <w:rsid w:val="002E32BF"/>
    <w:rsid w:val="002E6177"/>
    <w:rsid w:val="002E6C9D"/>
    <w:rsid w:val="002F455E"/>
    <w:rsid w:val="002F7154"/>
    <w:rsid w:val="00300514"/>
    <w:rsid w:val="00303330"/>
    <w:rsid w:val="003064A1"/>
    <w:rsid w:val="00306805"/>
    <w:rsid w:val="00307684"/>
    <w:rsid w:val="00310499"/>
    <w:rsid w:val="0031180D"/>
    <w:rsid w:val="00313F39"/>
    <w:rsid w:val="0031532B"/>
    <w:rsid w:val="003154D3"/>
    <w:rsid w:val="0031760C"/>
    <w:rsid w:val="00317D13"/>
    <w:rsid w:val="00342F28"/>
    <w:rsid w:val="00346A0B"/>
    <w:rsid w:val="00356CA1"/>
    <w:rsid w:val="003570C0"/>
    <w:rsid w:val="00357744"/>
    <w:rsid w:val="00364F16"/>
    <w:rsid w:val="00365D75"/>
    <w:rsid w:val="00373889"/>
    <w:rsid w:val="00380E76"/>
    <w:rsid w:val="00381538"/>
    <w:rsid w:val="00381DF9"/>
    <w:rsid w:val="00382319"/>
    <w:rsid w:val="003823E0"/>
    <w:rsid w:val="003841E0"/>
    <w:rsid w:val="00385E57"/>
    <w:rsid w:val="00396F0A"/>
    <w:rsid w:val="003A00D4"/>
    <w:rsid w:val="003C0907"/>
    <w:rsid w:val="003C32AE"/>
    <w:rsid w:val="003C6C88"/>
    <w:rsid w:val="003D7276"/>
    <w:rsid w:val="003E1A96"/>
    <w:rsid w:val="003E6E69"/>
    <w:rsid w:val="003E79FF"/>
    <w:rsid w:val="003F4DB9"/>
    <w:rsid w:val="00412BC5"/>
    <w:rsid w:val="00414822"/>
    <w:rsid w:val="0043050C"/>
    <w:rsid w:val="004351AC"/>
    <w:rsid w:val="004442DB"/>
    <w:rsid w:val="004523F3"/>
    <w:rsid w:val="00452596"/>
    <w:rsid w:val="00453203"/>
    <w:rsid w:val="00454104"/>
    <w:rsid w:val="00454852"/>
    <w:rsid w:val="00455A6E"/>
    <w:rsid w:val="00455FDB"/>
    <w:rsid w:val="004645B2"/>
    <w:rsid w:val="0046724B"/>
    <w:rsid w:val="004703F4"/>
    <w:rsid w:val="004747F6"/>
    <w:rsid w:val="00476240"/>
    <w:rsid w:val="00476419"/>
    <w:rsid w:val="00484574"/>
    <w:rsid w:val="00484D1F"/>
    <w:rsid w:val="0049073D"/>
    <w:rsid w:val="00490C65"/>
    <w:rsid w:val="0049338F"/>
    <w:rsid w:val="004A2DEC"/>
    <w:rsid w:val="004A5301"/>
    <w:rsid w:val="004B13CC"/>
    <w:rsid w:val="004B3482"/>
    <w:rsid w:val="004B4A0F"/>
    <w:rsid w:val="004B57FD"/>
    <w:rsid w:val="004B7A27"/>
    <w:rsid w:val="004C17E6"/>
    <w:rsid w:val="004D5935"/>
    <w:rsid w:val="004D658C"/>
    <w:rsid w:val="004E4026"/>
    <w:rsid w:val="004F4D1B"/>
    <w:rsid w:val="004F68D1"/>
    <w:rsid w:val="004F68D3"/>
    <w:rsid w:val="00500589"/>
    <w:rsid w:val="00511BE7"/>
    <w:rsid w:val="005260E6"/>
    <w:rsid w:val="0055510C"/>
    <w:rsid w:val="00557EE3"/>
    <w:rsid w:val="00564D14"/>
    <w:rsid w:val="00581324"/>
    <w:rsid w:val="005860BA"/>
    <w:rsid w:val="005901F4"/>
    <w:rsid w:val="00590542"/>
    <w:rsid w:val="00592315"/>
    <w:rsid w:val="005A26FF"/>
    <w:rsid w:val="005A4A14"/>
    <w:rsid w:val="005A563D"/>
    <w:rsid w:val="005B0CF7"/>
    <w:rsid w:val="005C2ACF"/>
    <w:rsid w:val="005C519D"/>
    <w:rsid w:val="005C7AF1"/>
    <w:rsid w:val="005D0059"/>
    <w:rsid w:val="005D1616"/>
    <w:rsid w:val="005D6607"/>
    <w:rsid w:val="005D79EC"/>
    <w:rsid w:val="005D7B64"/>
    <w:rsid w:val="005E514B"/>
    <w:rsid w:val="005E65B1"/>
    <w:rsid w:val="005E6D1F"/>
    <w:rsid w:val="005E7322"/>
    <w:rsid w:val="005F38E1"/>
    <w:rsid w:val="00604835"/>
    <w:rsid w:val="00604B05"/>
    <w:rsid w:val="00614108"/>
    <w:rsid w:val="006220ED"/>
    <w:rsid w:val="006224EF"/>
    <w:rsid w:val="006329AD"/>
    <w:rsid w:val="00636537"/>
    <w:rsid w:val="00640FA4"/>
    <w:rsid w:val="006435D2"/>
    <w:rsid w:val="00646336"/>
    <w:rsid w:val="00647479"/>
    <w:rsid w:val="00656DE0"/>
    <w:rsid w:val="006601E1"/>
    <w:rsid w:val="00667C8E"/>
    <w:rsid w:val="0068032E"/>
    <w:rsid w:val="00692918"/>
    <w:rsid w:val="00697355"/>
    <w:rsid w:val="006A38F0"/>
    <w:rsid w:val="006A5264"/>
    <w:rsid w:val="006C0027"/>
    <w:rsid w:val="006C1397"/>
    <w:rsid w:val="006C4FCB"/>
    <w:rsid w:val="006D0F22"/>
    <w:rsid w:val="006D763E"/>
    <w:rsid w:val="006E19D6"/>
    <w:rsid w:val="006E4BE1"/>
    <w:rsid w:val="006E4E4A"/>
    <w:rsid w:val="006F2973"/>
    <w:rsid w:val="006F7A2B"/>
    <w:rsid w:val="00703E23"/>
    <w:rsid w:val="007150F3"/>
    <w:rsid w:val="00717425"/>
    <w:rsid w:val="007234F4"/>
    <w:rsid w:val="0073361E"/>
    <w:rsid w:val="00734C74"/>
    <w:rsid w:val="0074000D"/>
    <w:rsid w:val="00741B3D"/>
    <w:rsid w:val="00744513"/>
    <w:rsid w:val="00746C8B"/>
    <w:rsid w:val="00756399"/>
    <w:rsid w:val="00756817"/>
    <w:rsid w:val="00764A83"/>
    <w:rsid w:val="00775F22"/>
    <w:rsid w:val="007A3F9B"/>
    <w:rsid w:val="007A55EF"/>
    <w:rsid w:val="007C24D7"/>
    <w:rsid w:val="007C2A3F"/>
    <w:rsid w:val="007C63F3"/>
    <w:rsid w:val="007D527F"/>
    <w:rsid w:val="007D6C64"/>
    <w:rsid w:val="007D7AF8"/>
    <w:rsid w:val="007F1980"/>
    <w:rsid w:val="007F54E4"/>
    <w:rsid w:val="007F5BC6"/>
    <w:rsid w:val="00806F21"/>
    <w:rsid w:val="008148DF"/>
    <w:rsid w:val="00814DE6"/>
    <w:rsid w:val="00815BFF"/>
    <w:rsid w:val="00826158"/>
    <w:rsid w:val="00827B83"/>
    <w:rsid w:val="00836D50"/>
    <w:rsid w:val="00841B40"/>
    <w:rsid w:val="008422C7"/>
    <w:rsid w:val="00843574"/>
    <w:rsid w:val="00844393"/>
    <w:rsid w:val="008467FA"/>
    <w:rsid w:val="008479F3"/>
    <w:rsid w:val="00847CA8"/>
    <w:rsid w:val="00850544"/>
    <w:rsid w:val="0086019D"/>
    <w:rsid w:val="00867917"/>
    <w:rsid w:val="00870B0E"/>
    <w:rsid w:val="00871B87"/>
    <w:rsid w:val="00874B2B"/>
    <w:rsid w:val="00875531"/>
    <w:rsid w:val="00896362"/>
    <w:rsid w:val="008A6367"/>
    <w:rsid w:val="008B10A3"/>
    <w:rsid w:val="008B1357"/>
    <w:rsid w:val="008B2813"/>
    <w:rsid w:val="008C1BCC"/>
    <w:rsid w:val="008C772D"/>
    <w:rsid w:val="008D17B4"/>
    <w:rsid w:val="008F26A1"/>
    <w:rsid w:val="008F798B"/>
    <w:rsid w:val="008F7EE9"/>
    <w:rsid w:val="009035D2"/>
    <w:rsid w:val="00921C65"/>
    <w:rsid w:val="009265D5"/>
    <w:rsid w:val="00933E91"/>
    <w:rsid w:val="0094075A"/>
    <w:rsid w:val="009434AF"/>
    <w:rsid w:val="009554AC"/>
    <w:rsid w:val="00960AA0"/>
    <w:rsid w:val="00970E1A"/>
    <w:rsid w:val="00975368"/>
    <w:rsid w:val="009937CC"/>
    <w:rsid w:val="00997D91"/>
    <w:rsid w:val="009A068D"/>
    <w:rsid w:val="009A21A9"/>
    <w:rsid w:val="009B19FC"/>
    <w:rsid w:val="009B31BE"/>
    <w:rsid w:val="009B47FC"/>
    <w:rsid w:val="009B7398"/>
    <w:rsid w:val="009C0ACB"/>
    <w:rsid w:val="009C5D6F"/>
    <w:rsid w:val="009D3F38"/>
    <w:rsid w:val="009D5CA0"/>
    <w:rsid w:val="009D6A97"/>
    <w:rsid w:val="009D7B2C"/>
    <w:rsid w:val="009E4FEE"/>
    <w:rsid w:val="009F6247"/>
    <w:rsid w:val="009F77CC"/>
    <w:rsid w:val="00A06816"/>
    <w:rsid w:val="00A07758"/>
    <w:rsid w:val="00A14A32"/>
    <w:rsid w:val="00A22A5D"/>
    <w:rsid w:val="00A232D6"/>
    <w:rsid w:val="00A23C13"/>
    <w:rsid w:val="00A30B76"/>
    <w:rsid w:val="00A3479D"/>
    <w:rsid w:val="00A348A4"/>
    <w:rsid w:val="00A372D0"/>
    <w:rsid w:val="00A45706"/>
    <w:rsid w:val="00A45EC6"/>
    <w:rsid w:val="00A47986"/>
    <w:rsid w:val="00A53561"/>
    <w:rsid w:val="00A578AC"/>
    <w:rsid w:val="00A67B13"/>
    <w:rsid w:val="00A7103C"/>
    <w:rsid w:val="00A72F7F"/>
    <w:rsid w:val="00A74CE1"/>
    <w:rsid w:val="00A90489"/>
    <w:rsid w:val="00A94D46"/>
    <w:rsid w:val="00A9587C"/>
    <w:rsid w:val="00A95F9B"/>
    <w:rsid w:val="00AA262D"/>
    <w:rsid w:val="00AA3762"/>
    <w:rsid w:val="00AA6D97"/>
    <w:rsid w:val="00AA7E29"/>
    <w:rsid w:val="00AB184A"/>
    <w:rsid w:val="00AC1FB5"/>
    <w:rsid w:val="00AC7DE5"/>
    <w:rsid w:val="00AD08A8"/>
    <w:rsid w:val="00AD7B9E"/>
    <w:rsid w:val="00AE1785"/>
    <w:rsid w:val="00AE41EA"/>
    <w:rsid w:val="00AF213C"/>
    <w:rsid w:val="00AF5BE1"/>
    <w:rsid w:val="00B04F5F"/>
    <w:rsid w:val="00B05AB7"/>
    <w:rsid w:val="00B12177"/>
    <w:rsid w:val="00B138CC"/>
    <w:rsid w:val="00B13A06"/>
    <w:rsid w:val="00B2036A"/>
    <w:rsid w:val="00B24AD7"/>
    <w:rsid w:val="00B27993"/>
    <w:rsid w:val="00B46644"/>
    <w:rsid w:val="00B4690A"/>
    <w:rsid w:val="00B638CD"/>
    <w:rsid w:val="00B64F9C"/>
    <w:rsid w:val="00B70A22"/>
    <w:rsid w:val="00B722E3"/>
    <w:rsid w:val="00B74173"/>
    <w:rsid w:val="00B741BF"/>
    <w:rsid w:val="00B747BE"/>
    <w:rsid w:val="00B77171"/>
    <w:rsid w:val="00B83B2F"/>
    <w:rsid w:val="00B857F0"/>
    <w:rsid w:val="00B9352B"/>
    <w:rsid w:val="00B96A28"/>
    <w:rsid w:val="00BA0E9E"/>
    <w:rsid w:val="00BA0FB6"/>
    <w:rsid w:val="00BA1674"/>
    <w:rsid w:val="00BA2D68"/>
    <w:rsid w:val="00BB0359"/>
    <w:rsid w:val="00BC43FB"/>
    <w:rsid w:val="00BC4FE7"/>
    <w:rsid w:val="00BD0496"/>
    <w:rsid w:val="00BD0EA6"/>
    <w:rsid w:val="00BD3550"/>
    <w:rsid w:val="00BE588D"/>
    <w:rsid w:val="00BF1D3E"/>
    <w:rsid w:val="00C00D48"/>
    <w:rsid w:val="00C11842"/>
    <w:rsid w:val="00C15575"/>
    <w:rsid w:val="00C21C82"/>
    <w:rsid w:val="00C359CE"/>
    <w:rsid w:val="00C37910"/>
    <w:rsid w:val="00C4076F"/>
    <w:rsid w:val="00C410F2"/>
    <w:rsid w:val="00C42C35"/>
    <w:rsid w:val="00C445E8"/>
    <w:rsid w:val="00C447D4"/>
    <w:rsid w:val="00C46590"/>
    <w:rsid w:val="00C51FAB"/>
    <w:rsid w:val="00C7145D"/>
    <w:rsid w:val="00C74BE0"/>
    <w:rsid w:val="00C7524C"/>
    <w:rsid w:val="00C80E9E"/>
    <w:rsid w:val="00C86434"/>
    <w:rsid w:val="00C97601"/>
    <w:rsid w:val="00CA0263"/>
    <w:rsid w:val="00CA0533"/>
    <w:rsid w:val="00CA0F71"/>
    <w:rsid w:val="00CC2FFD"/>
    <w:rsid w:val="00CC31D2"/>
    <w:rsid w:val="00CC3687"/>
    <w:rsid w:val="00CC7A48"/>
    <w:rsid w:val="00CD07E0"/>
    <w:rsid w:val="00CD0897"/>
    <w:rsid w:val="00CD778D"/>
    <w:rsid w:val="00CE2F44"/>
    <w:rsid w:val="00CE3929"/>
    <w:rsid w:val="00CE4036"/>
    <w:rsid w:val="00CE53FE"/>
    <w:rsid w:val="00D06FE5"/>
    <w:rsid w:val="00D1047D"/>
    <w:rsid w:val="00D10676"/>
    <w:rsid w:val="00D17963"/>
    <w:rsid w:val="00D21C90"/>
    <w:rsid w:val="00D4202B"/>
    <w:rsid w:val="00D44B47"/>
    <w:rsid w:val="00D567F3"/>
    <w:rsid w:val="00D62A03"/>
    <w:rsid w:val="00D63BA2"/>
    <w:rsid w:val="00D709E7"/>
    <w:rsid w:val="00D74846"/>
    <w:rsid w:val="00D75829"/>
    <w:rsid w:val="00D810D1"/>
    <w:rsid w:val="00D82ABC"/>
    <w:rsid w:val="00D83C5C"/>
    <w:rsid w:val="00D86258"/>
    <w:rsid w:val="00D93B47"/>
    <w:rsid w:val="00DA34B9"/>
    <w:rsid w:val="00DB4951"/>
    <w:rsid w:val="00DB7134"/>
    <w:rsid w:val="00DC453F"/>
    <w:rsid w:val="00DC6295"/>
    <w:rsid w:val="00DD4B06"/>
    <w:rsid w:val="00DE3F06"/>
    <w:rsid w:val="00DE406C"/>
    <w:rsid w:val="00DF46AA"/>
    <w:rsid w:val="00DF484F"/>
    <w:rsid w:val="00DF5B23"/>
    <w:rsid w:val="00E02E0D"/>
    <w:rsid w:val="00E13D26"/>
    <w:rsid w:val="00E23676"/>
    <w:rsid w:val="00E3239D"/>
    <w:rsid w:val="00E508DE"/>
    <w:rsid w:val="00E63055"/>
    <w:rsid w:val="00E75F77"/>
    <w:rsid w:val="00E76E94"/>
    <w:rsid w:val="00E815D8"/>
    <w:rsid w:val="00E87143"/>
    <w:rsid w:val="00E9098F"/>
    <w:rsid w:val="00E9226C"/>
    <w:rsid w:val="00E93AE3"/>
    <w:rsid w:val="00E94753"/>
    <w:rsid w:val="00E95570"/>
    <w:rsid w:val="00EA6A1B"/>
    <w:rsid w:val="00EA7DCB"/>
    <w:rsid w:val="00EB0438"/>
    <w:rsid w:val="00EB0AD8"/>
    <w:rsid w:val="00EC3DCB"/>
    <w:rsid w:val="00EC408A"/>
    <w:rsid w:val="00EE128C"/>
    <w:rsid w:val="00EE5AED"/>
    <w:rsid w:val="00EF3B55"/>
    <w:rsid w:val="00EF400B"/>
    <w:rsid w:val="00EF48D2"/>
    <w:rsid w:val="00EF5F80"/>
    <w:rsid w:val="00F03AC9"/>
    <w:rsid w:val="00F10C57"/>
    <w:rsid w:val="00F22408"/>
    <w:rsid w:val="00F252D7"/>
    <w:rsid w:val="00F33F32"/>
    <w:rsid w:val="00F4077D"/>
    <w:rsid w:val="00F455EC"/>
    <w:rsid w:val="00F50B5E"/>
    <w:rsid w:val="00F618F9"/>
    <w:rsid w:val="00F70157"/>
    <w:rsid w:val="00F72626"/>
    <w:rsid w:val="00F81DC8"/>
    <w:rsid w:val="00F86021"/>
    <w:rsid w:val="00F90F0D"/>
    <w:rsid w:val="00F923CA"/>
    <w:rsid w:val="00F97CE4"/>
    <w:rsid w:val="00FA4DF5"/>
    <w:rsid w:val="00FA57F4"/>
    <w:rsid w:val="00FA78AF"/>
    <w:rsid w:val="00FB2A18"/>
    <w:rsid w:val="00FB6E62"/>
    <w:rsid w:val="00FC7AB6"/>
    <w:rsid w:val="00FD2148"/>
    <w:rsid w:val="00FE2C6A"/>
    <w:rsid w:val="00FF6AFF"/>
    <w:rsid w:val="00FF7A0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04FFFC"/>
  <w15:docId w15:val="{2B379E51-E372-490F-89B6-0E0768D88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0" w:qFormat="1"/>
    <w:lsdException w:name="heading 2"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3"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emiHidden/>
    <w:qFormat/>
    <w:rsid w:val="00511BE7"/>
    <w:pPr>
      <w:spacing w:after="0" w:line="240" w:lineRule="auto"/>
    </w:pPr>
  </w:style>
  <w:style w:type="paragraph" w:styleId="Heading1">
    <w:name w:val="heading 1"/>
    <w:basedOn w:val="Normal"/>
    <w:next w:val="Normal"/>
    <w:link w:val="Heading1Char"/>
    <w:uiPriority w:val="10"/>
    <w:qFormat/>
    <w:rsid w:val="009B47FC"/>
    <w:pPr>
      <w:spacing w:after="454" w:line="620" w:lineRule="exact"/>
      <w:outlineLvl w:val="0"/>
    </w:pPr>
    <w:rPr>
      <w:rFonts w:asciiTheme="majorHAnsi" w:hAnsiTheme="majorHAnsi"/>
      <w:color w:val="962D91" w:themeColor="background2"/>
      <w:spacing w:val="-6"/>
      <w:sz w:val="60"/>
      <w:szCs w:val="60"/>
    </w:rPr>
  </w:style>
  <w:style w:type="paragraph" w:styleId="Heading2">
    <w:name w:val="heading 2"/>
    <w:basedOn w:val="BodyText"/>
    <w:next w:val="Normal"/>
    <w:link w:val="Heading2Char"/>
    <w:uiPriority w:val="9"/>
    <w:semiHidden/>
    <w:qFormat/>
    <w:rsid w:val="009B47FC"/>
    <w:pPr>
      <w:spacing w:before="113"/>
      <w:outlineLvl w:val="1"/>
    </w:pPr>
    <w:rPr>
      <w:b/>
      <w:color w:val="002D64" w:themeColor="text2"/>
    </w:rPr>
  </w:style>
  <w:style w:type="paragraph" w:styleId="Heading3">
    <w:name w:val="heading 3"/>
    <w:basedOn w:val="Normal"/>
    <w:next w:val="Normal"/>
    <w:link w:val="Heading3Char"/>
    <w:uiPriority w:val="9"/>
    <w:semiHidden/>
    <w:qFormat/>
    <w:rsid w:val="00511BE7"/>
    <w:pPr>
      <w:keepNext/>
      <w:keepLines/>
      <w:spacing w:before="200"/>
      <w:outlineLvl w:val="2"/>
    </w:pPr>
    <w:rPr>
      <w:rFonts w:asciiTheme="majorHAnsi" w:eastAsiaTheme="majorEastAsia" w:hAnsiTheme="majorHAnsi" w:cstheme="majorBidi"/>
      <w:b/>
      <w:bCs/>
      <w:color w:val="002D64" w:themeColor="accent1"/>
    </w:rPr>
  </w:style>
  <w:style w:type="paragraph" w:styleId="Heading4">
    <w:name w:val="heading 4"/>
    <w:basedOn w:val="Normal"/>
    <w:next w:val="Normal"/>
    <w:link w:val="Heading4Char"/>
    <w:uiPriority w:val="9"/>
    <w:semiHidden/>
    <w:qFormat/>
    <w:rsid w:val="00604835"/>
    <w:pPr>
      <w:keepNext/>
      <w:keepLines/>
      <w:spacing w:before="200"/>
      <w:ind w:left="2304" w:hanging="864"/>
      <w:outlineLvl w:val="3"/>
    </w:pPr>
    <w:rPr>
      <w:rFonts w:asciiTheme="majorHAnsi" w:eastAsiaTheme="majorEastAsia" w:hAnsiTheme="majorHAnsi" w:cstheme="majorBidi"/>
      <w:b/>
      <w:bCs/>
      <w:i/>
      <w:iCs/>
      <w:color w:val="002D64" w:themeColor="accent1"/>
    </w:rPr>
  </w:style>
  <w:style w:type="paragraph" w:styleId="Heading5">
    <w:name w:val="heading 5"/>
    <w:basedOn w:val="Normal"/>
    <w:next w:val="Normal"/>
    <w:link w:val="Heading5Char"/>
    <w:uiPriority w:val="9"/>
    <w:semiHidden/>
    <w:qFormat/>
    <w:rsid w:val="00604835"/>
    <w:pPr>
      <w:keepNext/>
      <w:keepLines/>
      <w:spacing w:before="200"/>
      <w:ind w:left="2448" w:hanging="1008"/>
      <w:outlineLvl w:val="4"/>
    </w:pPr>
    <w:rPr>
      <w:rFonts w:asciiTheme="majorHAnsi" w:eastAsiaTheme="majorEastAsia" w:hAnsiTheme="majorHAnsi" w:cstheme="majorBidi"/>
      <w:color w:val="001631" w:themeColor="accent1" w:themeShade="7F"/>
    </w:rPr>
  </w:style>
  <w:style w:type="paragraph" w:styleId="Heading6">
    <w:name w:val="heading 6"/>
    <w:basedOn w:val="Normal"/>
    <w:next w:val="Normal"/>
    <w:link w:val="Heading6Char"/>
    <w:uiPriority w:val="9"/>
    <w:semiHidden/>
    <w:qFormat/>
    <w:rsid w:val="00604835"/>
    <w:pPr>
      <w:keepNext/>
      <w:keepLines/>
      <w:spacing w:before="200"/>
      <w:ind w:left="2592" w:hanging="1152"/>
      <w:outlineLvl w:val="5"/>
    </w:pPr>
    <w:rPr>
      <w:rFonts w:asciiTheme="majorHAnsi" w:eastAsiaTheme="majorEastAsia" w:hAnsiTheme="majorHAnsi" w:cstheme="majorBidi"/>
      <w:i/>
      <w:iCs/>
      <w:color w:val="001631" w:themeColor="accent1" w:themeShade="7F"/>
    </w:rPr>
  </w:style>
  <w:style w:type="paragraph" w:styleId="Heading7">
    <w:name w:val="heading 7"/>
    <w:basedOn w:val="Normal"/>
    <w:next w:val="Normal"/>
    <w:link w:val="Heading7Char"/>
    <w:uiPriority w:val="9"/>
    <w:semiHidden/>
    <w:qFormat/>
    <w:rsid w:val="00604835"/>
    <w:pPr>
      <w:keepNext/>
      <w:keepLines/>
      <w:spacing w:before="200"/>
      <w:ind w:left="2736" w:hanging="1296"/>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604835"/>
    <w:pPr>
      <w:keepNext/>
      <w:keepLines/>
      <w:spacing w:before="200"/>
      <w:ind w:left="2880" w:hanging="14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604835"/>
    <w:pPr>
      <w:keepNext/>
      <w:keepLines/>
      <w:spacing w:before="200"/>
      <w:ind w:left="302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440A0"/>
    <w:pPr>
      <w:tabs>
        <w:tab w:val="center" w:pos="4513"/>
        <w:tab w:val="right" w:pos="9026"/>
      </w:tabs>
    </w:pPr>
  </w:style>
  <w:style w:type="character" w:customStyle="1" w:styleId="HeaderChar">
    <w:name w:val="Header Char"/>
    <w:basedOn w:val="DefaultParagraphFont"/>
    <w:link w:val="Header"/>
    <w:uiPriority w:val="99"/>
    <w:rsid w:val="001440A0"/>
  </w:style>
  <w:style w:type="paragraph" w:styleId="Footer">
    <w:name w:val="footer"/>
    <w:basedOn w:val="Normal"/>
    <w:link w:val="FooterChar"/>
    <w:uiPriority w:val="99"/>
    <w:rsid w:val="001440A0"/>
    <w:pPr>
      <w:tabs>
        <w:tab w:val="center" w:pos="4513"/>
        <w:tab w:val="right" w:pos="9026"/>
      </w:tabs>
    </w:pPr>
  </w:style>
  <w:style w:type="character" w:customStyle="1" w:styleId="FooterChar">
    <w:name w:val="Footer Char"/>
    <w:basedOn w:val="DefaultParagraphFont"/>
    <w:link w:val="Footer"/>
    <w:uiPriority w:val="99"/>
    <w:rsid w:val="001440A0"/>
  </w:style>
  <w:style w:type="paragraph" w:styleId="BalloonText">
    <w:name w:val="Balloon Text"/>
    <w:basedOn w:val="Normal"/>
    <w:link w:val="BalloonTextChar"/>
    <w:uiPriority w:val="99"/>
    <w:semiHidden/>
    <w:unhideWhenUsed/>
    <w:rsid w:val="001440A0"/>
    <w:rPr>
      <w:rFonts w:ascii="Tahoma" w:hAnsi="Tahoma" w:cs="Tahoma"/>
      <w:sz w:val="16"/>
      <w:szCs w:val="16"/>
    </w:rPr>
  </w:style>
  <w:style w:type="character" w:customStyle="1" w:styleId="BalloonTextChar">
    <w:name w:val="Balloon Text Char"/>
    <w:basedOn w:val="DefaultParagraphFont"/>
    <w:link w:val="BalloonText"/>
    <w:uiPriority w:val="99"/>
    <w:semiHidden/>
    <w:rsid w:val="001440A0"/>
    <w:rPr>
      <w:rFonts w:ascii="Tahoma" w:hAnsi="Tahoma" w:cs="Tahoma"/>
      <w:sz w:val="16"/>
      <w:szCs w:val="16"/>
    </w:rPr>
  </w:style>
  <w:style w:type="paragraph" w:styleId="Title">
    <w:name w:val="Title"/>
    <w:basedOn w:val="Normal"/>
    <w:next w:val="Normal"/>
    <w:link w:val="TitleChar"/>
    <w:uiPriority w:val="10"/>
    <w:qFormat/>
    <w:rsid w:val="00871B87"/>
    <w:pPr>
      <w:spacing w:after="57" w:line="560" w:lineRule="exact"/>
      <w:ind w:right="5159"/>
    </w:pPr>
    <w:rPr>
      <w:rFonts w:asciiTheme="majorHAnsi" w:hAnsiTheme="majorHAnsi"/>
      <w:b/>
      <w:color w:val="002D64" w:themeColor="text2"/>
      <w:sz w:val="48"/>
      <w:szCs w:val="48"/>
    </w:rPr>
  </w:style>
  <w:style w:type="character" w:customStyle="1" w:styleId="TitleChar">
    <w:name w:val="Title Char"/>
    <w:basedOn w:val="DefaultParagraphFont"/>
    <w:link w:val="Title"/>
    <w:uiPriority w:val="10"/>
    <w:rsid w:val="00871B87"/>
    <w:rPr>
      <w:rFonts w:asciiTheme="majorHAnsi" w:hAnsiTheme="majorHAnsi"/>
      <w:b/>
      <w:color w:val="002D64" w:themeColor="text2"/>
      <w:sz w:val="48"/>
      <w:szCs w:val="48"/>
    </w:rPr>
  </w:style>
  <w:style w:type="paragraph" w:styleId="Subtitle">
    <w:name w:val="Subtitle"/>
    <w:basedOn w:val="Normal"/>
    <w:next w:val="Normal"/>
    <w:link w:val="SubtitleChar"/>
    <w:uiPriority w:val="11"/>
    <w:qFormat/>
    <w:rsid w:val="00871B87"/>
    <w:pPr>
      <w:spacing w:line="420" w:lineRule="exact"/>
      <w:ind w:right="5160"/>
    </w:pPr>
    <w:rPr>
      <w:rFonts w:asciiTheme="majorHAnsi" w:hAnsiTheme="majorHAnsi"/>
      <w:color w:val="962D91" w:themeColor="background2"/>
      <w:sz w:val="36"/>
      <w:szCs w:val="36"/>
    </w:rPr>
  </w:style>
  <w:style w:type="character" w:customStyle="1" w:styleId="SubtitleChar">
    <w:name w:val="Subtitle Char"/>
    <w:basedOn w:val="DefaultParagraphFont"/>
    <w:link w:val="Subtitle"/>
    <w:uiPriority w:val="11"/>
    <w:rsid w:val="00871B87"/>
    <w:rPr>
      <w:rFonts w:asciiTheme="majorHAnsi" w:hAnsiTheme="majorHAnsi"/>
      <w:color w:val="962D91" w:themeColor="background2"/>
      <w:sz w:val="36"/>
      <w:szCs w:val="36"/>
    </w:rPr>
  </w:style>
  <w:style w:type="paragraph" w:customStyle="1" w:styleId="LongTitle">
    <w:name w:val="Long Title"/>
    <w:basedOn w:val="Title"/>
    <w:uiPriority w:val="7"/>
    <w:qFormat/>
    <w:rsid w:val="00CC7A48"/>
    <w:pPr>
      <w:ind w:right="0"/>
    </w:pPr>
  </w:style>
  <w:style w:type="paragraph" w:customStyle="1" w:styleId="LongSubtitle">
    <w:name w:val="Long Subtitle"/>
    <w:basedOn w:val="Normal"/>
    <w:uiPriority w:val="6"/>
    <w:qFormat/>
    <w:rsid w:val="00CC7A48"/>
    <w:pPr>
      <w:spacing w:line="420" w:lineRule="exact"/>
    </w:pPr>
    <w:rPr>
      <w:rFonts w:asciiTheme="majorHAnsi" w:hAnsiTheme="majorHAnsi"/>
      <w:color w:val="962D91" w:themeColor="background2"/>
      <w:sz w:val="36"/>
      <w:szCs w:val="36"/>
    </w:rPr>
  </w:style>
  <w:style w:type="character" w:customStyle="1" w:styleId="Heading1Char">
    <w:name w:val="Heading 1 Char"/>
    <w:basedOn w:val="DefaultParagraphFont"/>
    <w:link w:val="Heading1"/>
    <w:rsid w:val="00511BE7"/>
    <w:rPr>
      <w:rFonts w:asciiTheme="majorHAnsi" w:hAnsiTheme="majorHAnsi"/>
      <w:color w:val="962D91" w:themeColor="background2"/>
      <w:spacing w:val="-6"/>
      <w:sz w:val="60"/>
      <w:szCs w:val="60"/>
    </w:rPr>
  </w:style>
  <w:style w:type="paragraph" w:customStyle="1" w:styleId="Introduction">
    <w:name w:val="Introduction"/>
    <w:basedOn w:val="Normal"/>
    <w:uiPriority w:val="2"/>
    <w:qFormat/>
    <w:rsid w:val="00564D14"/>
    <w:pPr>
      <w:spacing w:after="113" w:line="380" w:lineRule="exact"/>
    </w:pPr>
    <w:rPr>
      <w:color w:val="002D64" w:themeColor="text2"/>
      <w:spacing w:val="-8"/>
      <w:sz w:val="24"/>
      <w:szCs w:val="32"/>
    </w:rPr>
  </w:style>
  <w:style w:type="paragraph" w:styleId="BodyText">
    <w:name w:val="Body Text"/>
    <w:basedOn w:val="Normal"/>
    <w:link w:val="BodyTextChar"/>
    <w:uiPriority w:val="3"/>
    <w:qFormat/>
    <w:rsid w:val="008467FA"/>
    <w:rPr>
      <w:rFonts w:asciiTheme="majorHAnsi" w:hAnsiTheme="majorHAnsi"/>
      <w:sz w:val="20"/>
    </w:rPr>
  </w:style>
  <w:style w:type="character" w:customStyle="1" w:styleId="BodyTextChar">
    <w:name w:val="Body Text Char"/>
    <w:basedOn w:val="DefaultParagraphFont"/>
    <w:link w:val="BodyText"/>
    <w:uiPriority w:val="3"/>
    <w:rsid w:val="008467FA"/>
    <w:rPr>
      <w:rFonts w:asciiTheme="majorHAnsi" w:hAnsiTheme="majorHAnsi"/>
      <w:sz w:val="20"/>
    </w:rPr>
  </w:style>
  <w:style w:type="character" w:customStyle="1" w:styleId="Heading2Char">
    <w:name w:val="Heading 2 Char"/>
    <w:basedOn w:val="DefaultParagraphFont"/>
    <w:link w:val="Heading2"/>
    <w:uiPriority w:val="9"/>
    <w:semiHidden/>
    <w:rsid w:val="00511BE7"/>
    <w:rPr>
      <w:rFonts w:asciiTheme="majorHAnsi" w:hAnsiTheme="majorHAnsi"/>
      <w:b/>
      <w:color w:val="002D64" w:themeColor="text2"/>
      <w:sz w:val="24"/>
    </w:rPr>
  </w:style>
  <w:style w:type="paragraph" w:customStyle="1" w:styleId="Sub-head">
    <w:name w:val="Sub-head"/>
    <w:basedOn w:val="Heading2"/>
    <w:uiPriority w:val="1"/>
    <w:qFormat/>
    <w:rsid w:val="00C97601"/>
    <w:pPr>
      <w:spacing w:before="0"/>
    </w:pPr>
  </w:style>
  <w:style w:type="paragraph" w:customStyle="1" w:styleId="SectionTitle">
    <w:name w:val="Section Title"/>
    <w:basedOn w:val="BodyText"/>
    <w:uiPriority w:val="5"/>
    <w:qFormat/>
    <w:rsid w:val="00511BE7"/>
    <w:pPr>
      <w:spacing w:after="57" w:line="560" w:lineRule="exact"/>
    </w:pPr>
    <w:rPr>
      <w:b/>
      <w:noProof/>
      <w:color w:val="002D64" w:themeColor="text2"/>
      <w:sz w:val="48"/>
      <w:szCs w:val="48"/>
      <w:lang w:eastAsia="en-GB"/>
    </w:rPr>
  </w:style>
  <w:style w:type="paragraph" w:customStyle="1" w:styleId="SectionSub-Title">
    <w:name w:val="Section Sub-Title"/>
    <w:basedOn w:val="BodyText"/>
    <w:uiPriority w:val="4"/>
    <w:qFormat/>
    <w:rsid w:val="00511BE7"/>
    <w:pPr>
      <w:spacing w:after="120" w:line="400" w:lineRule="exact"/>
      <w:ind w:right="4393"/>
    </w:pPr>
    <w:rPr>
      <w:color w:val="962D91" w:themeColor="background2"/>
      <w:sz w:val="36"/>
      <w:szCs w:val="36"/>
    </w:rPr>
  </w:style>
  <w:style w:type="character" w:customStyle="1" w:styleId="Heading3Char">
    <w:name w:val="Heading 3 Char"/>
    <w:basedOn w:val="DefaultParagraphFont"/>
    <w:link w:val="Heading3"/>
    <w:uiPriority w:val="9"/>
    <w:semiHidden/>
    <w:rsid w:val="00511BE7"/>
    <w:rPr>
      <w:rFonts w:asciiTheme="majorHAnsi" w:eastAsiaTheme="majorEastAsia" w:hAnsiTheme="majorHAnsi" w:cstheme="majorBidi"/>
      <w:b/>
      <w:bCs/>
      <w:color w:val="002D64" w:themeColor="accent1"/>
    </w:rPr>
  </w:style>
  <w:style w:type="paragraph" w:styleId="TOC1">
    <w:name w:val="toc 1"/>
    <w:basedOn w:val="Normal"/>
    <w:next w:val="Normal"/>
    <w:autoRedefine/>
    <w:uiPriority w:val="39"/>
    <w:unhideWhenUsed/>
    <w:rsid w:val="001E3F92"/>
    <w:pPr>
      <w:tabs>
        <w:tab w:val="right" w:pos="9628"/>
      </w:tabs>
      <w:spacing w:after="170" w:line="280" w:lineRule="exact"/>
    </w:pPr>
    <w:rPr>
      <w:rFonts w:asciiTheme="majorHAnsi" w:hAnsiTheme="majorHAnsi"/>
      <w:b/>
      <w:noProof/>
      <w:color w:val="962D91" w:themeColor="background2"/>
      <w:sz w:val="24"/>
      <w:szCs w:val="24"/>
    </w:rPr>
  </w:style>
  <w:style w:type="paragraph" w:styleId="TOC2">
    <w:name w:val="toc 2"/>
    <w:basedOn w:val="Normal"/>
    <w:next w:val="Normal"/>
    <w:autoRedefine/>
    <w:uiPriority w:val="39"/>
    <w:unhideWhenUsed/>
    <w:rsid w:val="001E3F92"/>
    <w:pPr>
      <w:tabs>
        <w:tab w:val="right" w:pos="9628"/>
      </w:tabs>
      <w:spacing w:after="170" w:line="280" w:lineRule="exact"/>
    </w:pPr>
    <w:rPr>
      <w:rFonts w:asciiTheme="majorHAnsi" w:hAnsiTheme="majorHAnsi"/>
      <w:noProof/>
      <w:color w:val="002D64" w:themeColor="text2"/>
      <w:sz w:val="24"/>
      <w:szCs w:val="24"/>
    </w:rPr>
  </w:style>
  <w:style w:type="character" w:styleId="Hyperlink">
    <w:name w:val="Hyperlink"/>
    <w:basedOn w:val="DefaultParagraphFont"/>
    <w:uiPriority w:val="99"/>
    <w:unhideWhenUsed/>
    <w:rsid w:val="00511BE7"/>
    <w:rPr>
      <w:color w:val="002D64" w:themeColor="hyperlink"/>
      <w:u w:val="single"/>
    </w:rPr>
  </w:style>
  <w:style w:type="paragraph" w:customStyle="1" w:styleId="Contents">
    <w:name w:val="Contents"/>
    <w:basedOn w:val="Heading1"/>
    <w:uiPriority w:val="99"/>
    <w:qFormat/>
    <w:rsid w:val="00511BE7"/>
  </w:style>
  <w:style w:type="paragraph" w:customStyle="1" w:styleId="Graphheading">
    <w:name w:val="Graph heading"/>
    <w:basedOn w:val="Heading1"/>
    <w:uiPriority w:val="99"/>
    <w:qFormat/>
    <w:rsid w:val="00511BE7"/>
    <w:rPr>
      <w:noProof/>
      <w:lang w:eastAsia="en-GB"/>
    </w:rPr>
  </w:style>
  <w:style w:type="paragraph" w:styleId="ListParagraph">
    <w:name w:val="List Paragraph"/>
    <w:basedOn w:val="Normal"/>
    <w:uiPriority w:val="34"/>
    <w:qFormat/>
    <w:rsid w:val="00564D14"/>
    <w:pPr>
      <w:ind w:left="720"/>
      <w:contextualSpacing/>
    </w:pPr>
    <w:rPr>
      <w:rFonts w:eastAsiaTheme="minorEastAsia"/>
      <w:sz w:val="24"/>
      <w:szCs w:val="24"/>
      <w:lang w:val="en-US"/>
    </w:rPr>
  </w:style>
  <w:style w:type="table" w:styleId="TableGrid">
    <w:name w:val="Table Grid"/>
    <w:basedOn w:val="TableNormal"/>
    <w:uiPriority w:val="59"/>
    <w:rsid w:val="00412B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412BC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
    <w:name w:val="Table"/>
    <w:basedOn w:val="Normal"/>
    <w:link w:val="TableChar"/>
    <w:qFormat/>
    <w:rsid w:val="00092676"/>
    <w:pPr>
      <w:spacing w:after="40"/>
    </w:pPr>
    <w:rPr>
      <w:rFonts w:eastAsiaTheme="minorEastAsia"/>
      <w:sz w:val="18"/>
      <w:szCs w:val="20"/>
      <w:lang w:bidi="en-US"/>
    </w:rPr>
  </w:style>
  <w:style w:type="character" w:customStyle="1" w:styleId="TableChar">
    <w:name w:val="Table Char"/>
    <w:basedOn w:val="DefaultParagraphFont"/>
    <w:link w:val="Table"/>
    <w:rsid w:val="00092676"/>
    <w:rPr>
      <w:rFonts w:eastAsiaTheme="minorEastAsia"/>
      <w:sz w:val="18"/>
      <w:szCs w:val="20"/>
      <w:lang w:bidi="en-US"/>
    </w:rPr>
  </w:style>
  <w:style w:type="table" w:customStyle="1" w:styleId="ERC">
    <w:name w:val="ERC"/>
    <w:basedOn w:val="TableNormal"/>
    <w:uiPriority w:val="99"/>
    <w:qFormat/>
    <w:rsid w:val="00092676"/>
    <w:pPr>
      <w:spacing w:line="240" w:lineRule="auto"/>
      <w:jc w:val="both"/>
    </w:pPr>
    <w:rPr>
      <w:rFonts w:eastAsiaTheme="minorEastAsia"/>
      <w:sz w:val="20"/>
      <w:szCs w:val="20"/>
      <w:lang w:val="en-AU" w:eastAsia="en-AU" w:bidi="en-US"/>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bottom w:w="57" w:type="dxa"/>
      </w:tblCellMar>
    </w:tblPr>
  </w:style>
  <w:style w:type="paragraph" w:customStyle="1" w:styleId="Tablebold">
    <w:name w:val="Table bold"/>
    <w:basedOn w:val="Table"/>
    <w:link w:val="TableboldChar"/>
    <w:qFormat/>
    <w:rsid w:val="00092676"/>
    <w:pPr>
      <w:spacing w:after="60"/>
    </w:pPr>
    <w:rPr>
      <w:rFonts w:ascii="Calibri" w:eastAsia="Times New Roman" w:hAnsi="Calibri" w:cs="Times New Roman"/>
      <w:b/>
    </w:rPr>
  </w:style>
  <w:style w:type="character" w:customStyle="1" w:styleId="TableboldChar">
    <w:name w:val="Table bold Char"/>
    <w:basedOn w:val="TableChar"/>
    <w:link w:val="Tablebold"/>
    <w:rsid w:val="00092676"/>
    <w:rPr>
      <w:rFonts w:ascii="Calibri" w:eastAsia="Times New Roman" w:hAnsi="Calibri" w:cs="Times New Roman"/>
      <w:b/>
      <w:sz w:val="18"/>
      <w:szCs w:val="20"/>
      <w:lang w:bidi="en-US"/>
    </w:rPr>
  </w:style>
  <w:style w:type="table" w:styleId="PlainTable1">
    <w:name w:val="Plain Table 1"/>
    <w:basedOn w:val="TableNormal"/>
    <w:uiPriority w:val="41"/>
    <w:rsid w:val="0009267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trong">
    <w:name w:val="Strong"/>
    <w:basedOn w:val="DefaultParagraphFont"/>
    <w:uiPriority w:val="22"/>
    <w:qFormat/>
    <w:rsid w:val="008B1357"/>
    <w:rPr>
      <w:b/>
      <w:bCs/>
    </w:rPr>
  </w:style>
  <w:style w:type="table" w:styleId="TableGridLight">
    <w:name w:val="Grid Table Light"/>
    <w:basedOn w:val="TableNormal"/>
    <w:uiPriority w:val="40"/>
    <w:rsid w:val="008B135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4Char">
    <w:name w:val="Heading 4 Char"/>
    <w:basedOn w:val="DefaultParagraphFont"/>
    <w:link w:val="Heading4"/>
    <w:uiPriority w:val="9"/>
    <w:semiHidden/>
    <w:rsid w:val="00604835"/>
    <w:rPr>
      <w:rFonts w:asciiTheme="majorHAnsi" w:eastAsiaTheme="majorEastAsia" w:hAnsiTheme="majorHAnsi" w:cstheme="majorBidi"/>
      <w:b/>
      <w:bCs/>
      <w:i/>
      <w:iCs/>
      <w:color w:val="002D64" w:themeColor="accent1"/>
    </w:rPr>
  </w:style>
  <w:style w:type="character" w:customStyle="1" w:styleId="Heading5Char">
    <w:name w:val="Heading 5 Char"/>
    <w:basedOn w:val="DefaultParagraphFont"/>
    <w:link w:val="Heading5"/>
    <w:uiPriority w:val="9"/>
    <w:semiHidden/>
    <w:rsid w:val="00604835"/>
    <w:rPr>
      <w:rFonts w:asciiTheme="majorHAnsi" w:eastAsiaTheme="majorEastAsia" w:hAnsiTheme="majorHAnsi" w:cstheme="majorBidi"/>
      <w:color w:val="001631" w:themeColor="accent1" w:themeShade="7F"/>
    </w:rPr>
  </w:style>
  <w:style w:type="character" w:customStyle="1" w:styleId="Heading6Char">
    <w:name w:val="Heading 6 Char"/>
    <w:basedOn w:val="DefaultParagraphFont"/>
    <w:link w:val="Heading6"/>
    <w:uiPriority w:val="9"/>
    <w:semiHidden/>
    <w:rsid w:val="00604835"/>
    <w:rPr>
      <w:rFonts w:asciiTheme="majorHAnsi" w:eastAsiaTheme="majorEastAsia" w:hAnsiTheme="majorHAnsi" w:cstheme="majorBidi"/>
      <w:i/>
      <w:iCs/>
      <w:color w:val="001631" w:themeColor="accent1" w:themeShade="7F"/>
    </w:rPr>
  </w:style>
  <w:style w:type="character" w:customStyle="1" w:styleId="Heading7Char">
    <w:name w:val="Heading 7 Char"/>
    <w:basedOn w:val="DefaultParagraphFont"/>
    <w:link w:val="Heading7"/>
    <w:uiPriority w:val="9"/>
    <w:semiHidden/>
    <w:rsid w:val="0060483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0483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04835"/>
    <w:rPr>
      <w:rFonts w:asciiTheme="majorHAnsi" w:eastAsiaTheme="majorEastAsia" w:hAnsiTheme="majorHAnsi" w:cstheme="majorBidi"/>
      <w:i/>
      <w:iCs/>
      <w:color w:val="404040" w:themeColor="text1" w:themeTint="BF"/>
      <w:sz w:val="20"/>
      <w:szCs w:val="20"/>
    </w:rPr>
  </w:style>
  <w:style w:type="paragraph" w:customStyle="1" w:styleId="PagesSubheading">
    <w:name w:val="Pages: Subheading"/>
    <w:basedOn w:val="Heading2"/>
    <w:uiPriority w:val="5"/>
    <w:qFormat/>
    <w:rsid w:val="00604835"/>
    <w:pPr>
      <w:spacing w:before="0" w:line="260" w:lineRule="exact"/>
      <w:ind w:left="2016" w:hanging="576"/>
    </w:pPr>
  </w:style>
  <w:style w:type="paragraph" w:customStyle="1" w:styleId="PagesBodytext">
    <w:name w:val="Pages: Body text"/>
    <w:basedOn w:val="Normal"/>
    <w:uiPriority w:val="7"/>
    <w:qFormat/>
    <w:rsid w:val="00604835"/>
    <w:pPr>
      <w:spacing w:after="220" w:line="260" w:lineRule="atLeast"/>
    </w:pPr>
    <w:rPr>
      <w:rFonts w:asciiTheme="majorHAnsi" w:hAnsiTheme="majorHAnsi"/>
    </w:rPr>
  </w:style>
  <w:style w:type="character" w:styleId="CommentReference">
    <w:name w:val="annotation reference"/>
    <w:basedOn w:val="DefaultParagraphFont"/>
    <w:uiPriority w:val="99"/>
    <w:semiHidden/>
    <w:unhideWhenUsed/>
    <w:rsid w:val="004A5301"/>
    <w:rPr>
      <w:sz w:val="16"/>
      <w:szCs w:val="16"/>
    </w:rPr>
  </w:style>
  <w:style w:type="paragraph" w:styleId="CommentText">
    <w:name w:val="annotation text"/>
    <w:basedOn w:val="Normal"/>
    <w:link w:val="CommentTextChar"/>
    <w:uiPriority w:val="99"/>
    <w:unhideWhenUsed/>
    <w:rsid w:val="004A5301"/>
    <w:rPr>
      <w:sz w:val="20"/>
      <w:szCs w:val="20"/>
    </w:rPr>
  </w:style>
  <w:style w:type="character" w:customStyle="1" w:styleId="CommentTextChar">
    <w:name w:val="Comment Text Char"/>
    <w:basedOn w:val="DefaultParagraphFont"/>
    <w:link w:val="CommentText"/>
    <w:uiPriority w:val="99"/>
    <w:rsid w:val="004A5301"/>
    <w:rPr>
      <w:sz w:val="20"/>
      <w:szCs w:val="20"/>
    </w:rPr>
  </w:style>
  <w:style w:type="paragraph" w:styleId="CommentSubject">
    <w:name w:val="annotation subject"/>
    <w:basedOn w:val="CommentText"/>
    <w:next w:val="CommentText"/>
    <w:link w:val="CommentSubjectChar"/>
    <w:uiPriority w:val="99"/>
    <w:semiHidden/>
    <w:unhideWhenUsed/>
    <w:rsid w:val="004A5301"/>
    <w:rPr>
      <w:b/>
      <w:bCs/>
    </w:rPr>
  </w:style>
  <w:style w:type="character" w:customStyle="1" w:styleId="CommentSubjectChar">
    <w:name w:val="Comment Subject Char"/>
    <w:basedOn w:val="CommentTextChar"/>
    <w:link w:val="CommentSubject"/>
    <w:uiPriority w:val="99"/>
    <w:semiHidden/>
    <w:rsid w:val="004A5301"/>
    <w:rPr>
      <w:b/>
      <w:bCs/>
      <w:sz w:val="20"/>
      <w:szCs w:val="20"/>
    </w:rPr>
  </w:style>
  <w:style w:type="character" w:styleId="Emphasis">
    <w:name w:val="Emphasis"/>
    <w:basedOn w:val="DefaultParagraphFont"/>
    <w:uiPriority w:val="20"/>
    <w:qFormat/>
    <w:rsid w:val="00A07758"/>
    <w:rPr>
      <w:rFonts w:ascii="Arial Narrow" w:hAnsi="Arial Narrow"/>
      <w:b/>
      <w:iCs/>
      <w:sz w:val="24"/>
    </w:rPr>
  </w:style>
  <w:style w:type="paragraph" w:customStyle="1" w:styleId="TableParagraph">
    <w:name w:val="Table Paragraph"/>
    <w:basedOn w:val="Normal"/>
    <w:uiPriority w:val="1"/>
    <w:qFormat/>
    <w:rsid w:val="009937CC"/>
    <w:pPr>
      <w:widowControl w:val="0"/>
      <w:autoSpaceDE w:val="0"/>
      <w:autoSpaceDN w:val="0"/>
      <w:ind w:left="828"/>
    </w:pPr>
    <w:rPr>
      <w:rFonts w:ascii="Source Sans Pro" w:eastAsia="Source Sans Pro" w:hAnsi="Source Sans Pro" w:cs="Source Sans Pro"/>
      <w:lang w:val="en-US"/>
    </w:rPr>
  </w:style>
  <w:style w:type="paragraph" w:customStyle="1" w:styleId="PagesIntroduction">
    <w:name w:val="Pages: Introduction"/>
    <w:basedOn w:val="Normal"/>
    <w:uiPriority w:val="4"/>
    <w:qFormat/>
    <w:rsid w:val="00490C65"/>
    <w:pPr>
      <w:spacing w:after="100" w:line="340" w:lineRule="exact"/>
    </w:pPr>
    <w:rPr>
      <w:color w:val="002D64" w:themeColor="text2"/>
      <w:spacing w:val="-8"/>
      <w:sz w:val="28"/>
      <w:szCs w:val="28"/>
    </w:rPr>
  </w:style>
  <w:style w:type="table" w:customStyle="1" w:styleId="TableGridLight1">
    <w:name w:val="Table Grid Light1"/>
    <w:basedOn w:val="TableNormal"/>
    <w:uiPriority w:val="40"/>
    <w:rsid w:val="00FF7A0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gc">
    <w:name w:val="_tgc"/>
    <w:basedOn w:val="DefaultParagraphFont"/>
    <w:rsid w:val="00FF7A07"/>
  </w:style>
  <w:style w:type="character" w:customStyle="1" w:styleId="UnresolvedMention1">
    <w:name w:val="Unresolved Mention1"/>
    <w:basedOn w:val="DefaultParagraphFont"/>
    <w:uiPriority w:val="99"/>
    <w:rsid w:val="00303330"/>
    <w:rPr>
      <w:color w:val="808080"/>
      <w:shd w:val="clear" w:color="auto" w:fill="E6E6E6"/>
    </w:rPr>
  </w:style>
  <w:style w:type="paragraph" w:customStyle="1" w:styleId="p1">
    <w:name w:val="p1"/>
    <w:basedOn w:val="Normal"/>
    <w:rsid w:val="00CD0897"/>
    <w:rPr>
      <w:rFonts w:ascii="Helvetica" w:hAnsi="Helvetica" w:cs="Times New Roman"/>
      <w:sz w:val="17"/>
      <w:szCs w:val="17"/>
      <w:lang w:eastAsia="en-GB"/>
    </w:rPr>
  </w:style>
  <w:style w:type="character" w:styleId="UnresolvedMention">
    <w:name w:val="Unresolved Mention"/>
    <w:basedOn w:val="DefaultParagraphFont"/>
    <w:uiPriority w:val="99"/>
    <w:rsid w:val="00875531"/>
    <w:rPr>
      <w:color w:val="605E5C"/>
      <w:shd w:val="clear" w:color="auto" w:fill="E1DFDD"/>
    </w:rPr>
  </w:style>
  <w:style w:type="paragraph" w:styleId="FootnoteText">
    <w:name w:val="footnote text"/>
    <w:basedOn w:val="Normal"/>
    <w:link w:val="FootnoteTextChar"/>
    <w:uiPriority w:val="99"/>
    <w:semiHidden/>
    <w:unhideWhenUsed/>
    <w:rsid w:val="008F798B"/>
    <w:rPr>
      <w:sz w:val="20"/>
      <w:szCs w:val="20"/>
    </w:rPr>
  </w:style>
  <w:style w:type="character" w:customStyle="1" w:styleId="FootnoteTextChar">
    <w:name w:val="Footnote Text Char"/>
    <w:basedOn w:val="DefaultParagraphFont"/>
    <w:link w:val="FootnoteText"/>
    <w:uiPriority w:val="99"/>
    <w:semiHidden/>
    <w:rsid w:val="008F798B"/>
    <w:rPr>
      <w:sz w:val="20"/>
      <w:szCs w:val="20"/>
    </w:rPr>
  </w:style>
  <w:style w:type="character" w:styleId="FootnoteReference">
    <w:name w:val="footnote reference"/>
    <w:basedOn w:val="DefaultParagraphFont"/>
    <w:uiPriority w:val="99"/>
    <w:semiHidden/>
    <w:unhideWhenUsed/>
    <w:rsid w:val="008F798B"/>
    <w:rPr>
      <w:vertAlign w:val="superscript"/>
    </w:rPr>
  </w:style>
  <w:style w:type="paragraph" w:customStyle="1" w:styleId="Default">
    <w:name w:val="Default"/>
    <w:rsid w:val="00E13D26"/>
    <w:pPr>
      <w:autoSpaceDE w:val="0"/>
      <w:autoSpaceDN w:val="0"/>
      <w:adjustRightInd w:val="0"/>
      <w:spacing w:after="0" w:line="240" w:lineRule="auto"/>
    </w:pPr>
    <w:rPr>
      <w:rFonts w:ascii="Cambria Math" w:hAnsi="Cambria Math" w:cs="Cambria Math"/>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057075">
      <w:bodyDiv w:val="1"/>
      <w:marLeft w:val="0"/>
      <w:marRight w:val="0"/>
      <w:marTop w:val="0"/>
      <w:marBottom w:val="0"/>
      <w:divBdr>
        <w:top w:val="none" w:sz="0" w:space="0" w:color="auto"/>
        <w:left w:val="none" w:sz="0" w:space="0" w:color="auto"/>
        <w:bottom w:val="none" w:sz="0" w:space="0" w:color="auto"/>
        <w:right w:val="none" w:sz="0" w:space="0" w:color="auto"/>
      </w:divBdr>
    </w:div>
    <w:div w:id="409036285">
      <w:bodyDiv w:val="1"/>
      <w:marLeft w:val="0"/>
      <w:marRight w:val="0"/>
      <w:marTop w:val="0"/>
      <w:marBottom w:val="0"/>
      <w:divBdr>
        <w:top w:val="none" w:sz="0" w:space="0" w:color="auto"/>
        <w:left w:val="none" w:sz="0" w:space="0" w:color="auto"/>
        <w:bottom w:val="none" w:sz="0" w:space="0" w:color="auto"/>
        <w:right w:val="none" w:sz="0" w:space="0" w:color="auto"/>
      </w:divBdr>
    </w:div>
    <w:div w:id="446898233">
      <w:bodyDiv w:val="1"/>
      <w:marLeft w:val="0"/>
      <w:marRight w:val="0"/>
      <w:marTop w:val="0"/>
      <w:marBottom w:val="0"/>
      <w:divBdr>
        <w:top w:val="none" w:sz="0" w:space="0" w:color="auto"/>
        <w:left w:val="none" w:sz="0" w:space="0" w:color="auto"/>
        <w:bottom w:val="none" w:sz="0" w:space="0" w:color="auto"/>
        <w:right w:val="none" w:sz="0" w:space="0" w:color="auto"/>
      </w:divBdr>
    </w:div>
    <w:div w:id="617831581">
      <w:bodyDiv w:val="1"/>
      <w:marLeft w:val="0"/>
      <w:marRight w:val="0"/>
      <w:marTop w:val="0"/>
      <w:marBottom w:val="0"/>
      <w:divBdr>
        <w:top w:val="none" w:sz="0" w:space="0" w:color="auto"/>
        <w:left w:val="none" w:sz="0" w:space="0" w:color="auto"/>
        <w:bottom w:val="none" w:sz="0" w:space="0" w:color="auto"/>
        <w:right w:val="none" w:sz="0" w:space="0" w:color="auto"/>
      </w:divBdr>
    </w:div>
    <w:div w:id="792673196">
      <w:bodyDiv w:val="1"/>
      <w:marLeft w:val="0"/>
      <w:marRight w:val="0"/>
      <w:marTop w:val="0"/>
      <w:marBottom w:val="0"/>
      <w:divBdr>
        <w:top w:val="none" w:sz="0" w:space="0" w:color="auto"/>
        <w:left w:val="none" w:sz="0" w:space="0" w:color="auto"/>
        <w:bottom w:val="none" w:sz="0" w:space="0" w:color="auto"/>
        <w:right w:val="none" w:sz="0" w:space="0" w:color="auto"/>
      </w:divBdr>
    </w:div>
    <w:div w:id="999311590">
      <w:bodyDiv w:val="1"/>
      <w:marLeft w:val="0"/>
      <w:marRight w:val="0"/>
      <w:marTop w:val="0"/>
      <w:marBottom w:val="0"/>
      <w:divBdr>
        <w:top w:val="none" w:sz="0" w:space="0" w:color="auto"/>
        <w:left w:val="none" w:sz="0" w:space="0" w:color="auto"/>
        <w:bottom w:val="none" w:sz="0" w:space="0" w:color="auto"/>
        <w:right w:val="none" w:sz="0" w:space="0" w:color="auto"/>
      </w:divBdr>
    </w:div>
    <w:div w:id="1290668690">
      <w:bodyDiv w:val="1"/>
      <w:marLeft w:val="0"/>
      <w:marRight w:val="0"/>
      <w:marTop w:val="0"/>
      <w:marBottom w:val="0"/>
      <w:divBdr>
        <w:top w:val="none" w:sz="0" w:space="0" w:color="auto"/>
        <w:left w:val="none" w:sz="0" w:space="0" w:color="auto"/>
        <w:bottom w:val="none" w:sz="0" w:space="0" w:color="auto"/>
        <w:right w:val="none" w:sz="0" w:space="0" w:color="auto"/>
      </w:divBdr>
    </w:div>
    <w:div w:id="1489638252">
      <w:bodyDiv w:val="1"/>
      <w:marLeft w:val="0"/>
      <w:marRight w:val="0"/>
      <w:marTop w:val="0"/>
      <w:marBottom w:val="0"/>
      <w:divBdr>
        <w:top w:val="none" w:sz="0" w:space="0" w:color="auto"/>
        <w:left w:val="none" w:sz="0" w:space="0" w:color="auto"/>
        <w:bottom w:val="none" w:sz="0" w:space="0" w:color="auto"/>
        <w:right w:val="none" w:sz="0" w:space="0" w:color="auto"/>
      </w:divBdr>
    </w:div>
    <w:div w:id="1509518057">
      <w:bodyDiv w:val="1"/>
      <w:marLeft w:val="0"/>
      <w:marRight w:val="0"/>
      <w:marTop w:val="0"/>
      <w:marBottom w:val="0"/>
      <w:divBdr>
        <w:top w:val="none" w:sz="0" w:space="0" w:color="auto"/>
        <w:left w:val="none" w:sz="0" w:space="0" w:color="auto"/>
        <w:bottom w:val="none" w:sz="0" w:space="0" w:color="auto"/>
        <w:right w:val="none" w:sz="0" w:space="0" w:color="auto"/>
      </w:divBdr>
    </w:div>
    <w:div w:id="1513450080">
      <w:bodyDiv w:val="1"/>
      <w:marLeft w:val="0"/>
      <w:marRight w:val="0"/>
      <w:marTop w:val="0"/>
      <w:marBottom w:val="0"/>
      <w:divBdr>
        <w:top w:val="none" w:sz="0" w:space="0" w:color="auto"/>
        <w:left w:val="none" w:sz="0" w:space="0" w:color="auto"/>
        <w:bottom w:val="none" w:sz="0" w:space="0" w:color="auto"/>
        <w:right w:val="none" w:sz="0" w:space="0" w:color="auto"/>
      </w:divBdr>
    </w:div>
    <w:div w:id="1647784696">
      <w:bodyDiv w:val="1"/>
      <w:marLeft w:val="0"/>
      <w:marRight w:val="0"/>
      <w:marTop w:val="0"/>
      <w:marBottom w:val="0"/>
      <w:divBdr>
        <w:top w:val="none" w:sz="0" w:space="0" w:color="auto"/>
        <w:left w:val="none" w:sz="0" w:space="0" w:color="auto"/>
        <w:bottom w:val="none" w:sz="0" w:space="0" w:color="auto"/>
        <w:right w:val="none" w:sz="0" w:space="0" w:color="auto"/>
      </w:divBdr>
    </w:div>
    <w:div w:id="2107729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QuickStyle" Target="diagrams/quickStyle1.xml"/><Relationship Id="rId18" Type="http://schemas.openxmlformats.org/officeDocument/2006/relationships/hyperlink" Target="http://community.cochrane.org/sites/default/files/uploads/inline-files/Cochrane%20Partnership%20Policy.pdf"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hyperlink" Target="https://www.cochranelibrary.com/about/releases" TargetMode="External"/><Relationship Id="rId2" Type="http://schemas.openxmlformats.org/officeDocument/2006/relationships/numbering" Target="numbering.xml"/><Relationship Id="rId16" Type="http://schemas.openxmlformats.org/officeDocument/2006/relationships/hyperlink" Target="https://community.cochrane.org/news/results-and-conclusions-ceus-plain-language-summary-pilot-project" TargetMode="External"/><Relationship Id="rId20" Type="http://schemas.openxmlformats.org/officeDocument/2006/relationships/hyperlink" Target="https://community.cochrane.org/organizational-info/people/strategic-partnership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theme" Target="theme/theme1.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community.cochrane.org/sites/default/files/uploads/PartnershipGuidance_20180706.doc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Colors" Target="diagrams/colors1.xm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inder\Documents\Custom%20Office%20Templates\Lucie%20Cochrane%20template.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7650299-BBCD-4497-8B59-481F03A721F2}" type="doc">
      <dgm:prSet loTypeId="urn:microsoft.com/office/officeart/2005/8/layout/hProcess9" loCatId="process" qsTypeId="urn:microsoft.com/office/officeart/2005/8/quickstyle/simple1" qsCatId="simple" csTypeId="urn:microsoft.com/office/officeart/2005/8/colors/accent1_2" csCatId="accent1" phldr="1"/>
      <dgm:spPr/>
    </dgm:pt>
    <dgm:pt modelId="{4D9E48DC-C006-4191-AA28-2ADF49168047}">
      <dgm:prSet phldrT="[Text]"/>
      <dgm:spPr/>
      <dgm:t>
        <a:bodyPr/>
        <a:lstStyle/>
        <a:p>
          <a:r>
            <a:rPr lang="en-GB"/>
            <a:t>2014</a:t>
          </a:r>
        </a:p>
      </dgm:t>
    </dgm:pt>
    <dgm:pt modelId="{07B63C38-67D4-40DC-B076-E2FB46ECF406}" type="parTrans" cxnId="{11381411-579B-4CA5-8685-7A590DAB2231}">
      <dgm:prSet/>
      <dgm:spPr/>
      <dgm:t>
        <a:bodyPr/>
        <a:lstStyle/>
        <a:p>
          <a:endParaRPr lang="en-GB"/>
        </a:p>
      </dgm:t>
    </dgm:pt>
    <dgm:pt modelId="{3C7B3281-2594-40C5-AC57-90B4E9A78A84}" type="sibTrans" cxnId="{11381411-579B-4CA5-8685-7A590DAB2231}">
      <dgm:prSet/>
      <dgm:spPr/>
      <dgm:t>
        <a:bodyPr/>
        <a:lstStyle/>
        <a:p>
          <a:endParaRPr lang="en-GB"/>
        </a:p>
      </dgm:t>
    </dgm:pt>
    <dgm:pt modelId="{FD196D1A-E476-4F56-B904-87BEE1D15E78}">
      <dgm:prSet phldrT="[Text]"/>
      <dgm:spPr/>
      <dgm:t>
        <a:bodyPr/>
        <a:lstStyle/>
        <a:p>
          <a:r>
            <a:rPr lang="en-GB"/>
            <a:t>2015</a:t>
          </a:r>
        </a:p>
      </dgm:t>
    </dgm:pt>
    <dgm:pt modelId="{31DB6BFF-B74E-40BE-8492-B764EC255DC0}" type="parTrans" cxnId="{BA969715-8FE9-4B07-B550-AA3553E18E69}">
      <dgm:prSet/>
      <dgm:spPr/>
      <dgm:t>
        <a:bodyPr/>
        <a:lstStyle/>
        <a:p>
          <a:endParaRPr lang="en-GB"/>
        </a:p>
      </dgm:t>
    </dgm:pt>
    <dgm:pt modelId="{264F8716-FE16-4F1D-803A-84F1FCDDBDAC}" type="sibTrans" cxnId="{BA969715-8FE9-4B07-B550-AA3553E18E69}">
      <dgm:prSet/>
      <dgm:spPr/>
      <dgm:t>
        <a:bodyPr/>
        <a:lstStyle/>
        <a:p>
          <a:endParaRPr lang="en-GB"/>
        </a:p>
      </dgm:t>
    </dgm:pt>
    <dgm:pt modelId="{A9F4F35C-38A6-4FBB-9741-42FE734F23AE}">
      <dgm:prSet phldrT="[Text]"/>
      <dgm:spPr/>
      <dgm:t>
        <a:bodyPr/>
        <a:lstStyle/>
        <a:p>
          <a:r>
            <a:rPr lang="en-GB"/>
            <a:t>2016</a:t>
          </a:r>
        </a:p>
      </dgm:t>
    </dgm:pt>
    <dgm:pt modelId="{5D30170D-AA5A-4578-BF70-8F11C08CD0F2}" type="parTrans" cxnId="{89DDA61A-A3F6-4FB3-AE92-35925D41C61A}">
      <dgm:prSet/>
      <dgm:spPr/>
      <dgm:t>
        <a:bodyPr/>
        <a:lstStyle/>
        <a:p>
          <a:endParaRPr lang="en-GB"/>
        </a:p>
      </dgm:t>
    </dgm:pt>
    <dgm:pt modelId="{D1E3B3C6-111D-4DF3-AD6E-C7C990F045C4}" type="sibTrans" cxnId="{89DDA61A-A3F6-4FB3-AE92-35925D41C61A}">
      <dgm:prSet/>
      <dgm:spPr/>
      <dgm:t>
        <a:bodyPr/>
        <a:lstStyle/>
        <a:p>
          <a:endParaRPr lang="en-GB"/>
        </a:p>
      </dgm:t>
    </dgm:pt>
    <dgm:pt modelId="{E077E254-EF9A-4C1B-A69E-ABA7A1D79885}">
      <dgm:prSet phldrT="[Text]"/>
      <dgm:spPr/>
      <dgm:t>
        <a:bodyPr/>
        <a:lstStyle/>
        <a:p>
          <a:r>
            <a:rPr lang="en-GB"/>
            <a:t>2017</a:t>
          </a:r>
        </a:p>
      </dgm:t>
    </dgm:pt>
    <dgm:pt modelId="{9A8C9A28-E9A9-4D7A-8364-8D3FA4A7017B}" type="parTrans" cxnId="{358A7E18-A51F-4988-B4EE-7BE5987B8FD6}">
      <dgm:prSet/>
      <dgm:spPr/>
      <dgm:t>
        <a:bodyPr/>
        <a:lstStyle/>
        <a:p>
          <a:endParaRPr lang="en-GB"/>
        </a:p>
      </dgm:t>
    </dgm:pt>
    <dgm:pt modelId="{2EC6CB4C-49A6-4A47-8339-84CC189A592F}" type="sibTrans" cxnId="{358A7E18-A51F-4988-B4EE-7BE5987B8FD6}">
      <dgm:prSet/>
      <dgm:spPr/>
      <dgm:t>
        <a:bodyPr/>
        <a:lstStyle/>
        <a:p>
          <a:endParaRPr lang="en-GB"/>
        </a:p>
      </dgm:t>
    </dgm:pt>
    <dgm:pt modelId="{1ACC143F-B42F-4529-B464-980081AB1462}">
      <dgm:prSet phldrT="[Text]"/>
      <dgm:spPr/>
      <dgm:t>
        <a:bodyPr/>
        <a:lstStyle/>
        <a:p>
          <a:r>
            <a:rPr lang="en-GB"/>
            <a:t>2018</a:t>
          </a:r>
        </a:p>
      </dgm:t>
    </dgm:pt>
    <dgm:pt modelId="{6FCD5B46-5E2C-4E97-B6B9-FCD4FEB3D811}" type="parTrans" cxnId="{C0BE622A-2E52-4BAA-91D5-4458AD87B92F}">
      <dgm:prSet/>
      <dgm:spPr/>
      <dgm:t>
        <a:bodyPr/>
        <a:lstStyle/>
        <a:p>
          <a:endParaRPr lang="en-GB"/>
        </a:p>
      </dgm:t>
    </dgm:pt>
    <dgm:pt modelId="{175EC50E-2FB8-4ADE-A73F-7BC544D46703}" type="sibTrans" cxnId="{C0BE622A-2E52-4BAA-91D5-4458AD87B92F}">
      <dgm:prSet/>
      <dgm:spPr/>
      <dgm:t>
        <a:bodyPr/>
        <a:lstStyle/>
        <a:p>
          <a:endParaRPr lang="en-GB"/>
        </a:p>
      </dgm:t>
    </dgm:pt>
    <dgm:pt modelId="{8C515B1F-673A-41CF-B857-812CB9FC72A3}">
      <dgm:prSet phldrT="[Text]"/>
      <dgm:spPr/>
      <dgm:t>
        <a:bodyPr/>
        <a:lstStyle/>
        <a:p>
          <a:r>
            <a:rPr lang="en-GB"/>
            <a:t>2019</a:t>
          </a:r>
        </a:p>
      </dgm:t>
    </dgm:pt>
    <dgm:pt modelId="{8054E512-56E8-4966-BE69-1BB6575298F1}" type="parTrans" cxnId="{C6460D2E-E767-4A60-BB46-0B60D08DE356}">
      <dgm:prSet/>
      <dgm:spPr/>
      <dgm:t>
        <a:bodyPr/>
        <a:lstStyle/>
        <a:p>
          <a:endParaRPr lang="en-GB"/>
        </a:p>
      </dgm:t>
    </dgm:pt>
    <dgm:pt modelId="{EEB21B0C-C97E-4EFF-AF03-154D9F9F41C3}" type="sibTrans" cxnId="{C6460D2E-E767-4A60-BB46-0B60D08DE356}">
      <dgm:prSet/>
      <dgm:spPr/>
      <dgm:t>
        <a:bodyPr/>
        <a:lstStyle/>
        <a:p>
          <a:endParaRPr lang="en-GB"/>
        </a:p>
      </dgm:t>
    </dgm:pt>
    <dgm:pt modelId="{B33022ED-8574-484A-8E74-559ADC6BC5DA}">
      <dgm:prSet phldrT="[Text]"/>
      <dgm:spPr>
        <a:solidFill>
          <a:schemeClr val="accent2"/>
        </a:solidFill>
      </dgm:spPr>
      <dgm:t>
        <a:bodyPr/>
        <a:lstStyle/>
        <a:p>
          <a:r>
            <a:rPr lang="en-GB"/>
            <a:t>2020</a:t>
          </a:r>
        </a:p>
      </dgm:t>
    </dgm:pt>
    <dgm:pt modelId="{D0865FEF-A8FE-4C5D-AD94-DA9A9308020D}" type="parTrans" cxnId="{E636F69F-41ED-4D9E-A5E2-8E70CF5F3646}">
      <dgm:prSet/>
      <dgm:spPr/>
      <dgm:t>
        <a:bodyPr/>
        <a:lstStyle/>
        <a:p>
          <a:endParaRPr lang="en-GB"/>
        </a:p>
      </dgm:t>
    </dgm:pt>
    <dgm:pt modelId="{CD93790C-F697-437F-81A7-370797952FC9}" type="sibTrans" cxnId="{E636F69F-41ED-4D9E-A5E2-8E70CF5F3646}">
      <dgm:prSet/>
      <dgm:spPr/>
      <dgm:t>
        <a:bodyPr/>
        <a:lstStyle/>
        <a:p>
          <a:endParaRPr lang="en-GB"/>
        </a:p>
      </dgm:t>
    </dgm:pt>
    <dgm:pt modelId="{F816A1CE-1C47-4E47-BFBD-7C3E7ED11A5D}" type="pres">
      <dgm:prSet presAssocID="{87650299-BBCD-4497-8B59-481F03A721F2}" presName="CompostProcess" presStyleCnt="0">
        <dgm:presLayoutVars>
          <dgm:dir/>
          <dgm:resizeHandles val="exact"/>
        </dgm:presLayoutVars>
      </dgm:prSet>
      <dgm:spPr/>
    </dgm:pt>
    <dgm:pt modelId="{0AECC69C-AEC5-477A-8D53-E06CCCB42400}" type="pres">
      <dgm:prSet presAssocID="{87650299-BBCD-4497-8B59-481F03A721F2}" presName="arrow" presStyleLbl="bgShp" presStyleIdx="0" presStyleCnt="1"/>
      <dgm:spPr/>
    </dgm:pt>
    <dgm:pt modelId="{A6A851A9-9785-4F69-A7EE-B0061A13F4A9}" type="pres">
      <dgm:prSet presAssocID="{87650299-BBCD-4497-8B59-481F03A721F2}" presName="linearProcess" presStyleCnt="0"/>
      <dgm:spPr/>
    </dgm:pt>
    <dgm:pt modelId="{2936771C-C96C-41AD-8EA9-4C834290AD3A}" type="pres">
      <dgm:prSet presAssocID="{4D9E48DC-C006-4191-AA28-2ADF49168047}" presName="textNode" presStyleLbl="node1" presStyleIdx="0" presStyleCnt="7">
        <dgm:presLayoutVars>
          <dgm:bulletEnabled val="1"/>
        </dgm:presLayoutVars>
      </dgm:prSet>
      <dgm:spPr/>
    </dgm:pt>
    <dgm:pt modelId="{1F5F0972-3F6E-4AB8-8C82-2B1C3A23D1B6}" type="pres">
      <dgm:prSet presAssocID="{3C7B3281-2594-40C5-AC57-90B4E9A78A84}" presName="sibTrans" presStyleCnt="0"/>
      <dgm:spPr/>
    </dgm:pt>
    <dgm:pt modelId="{F0F48F73-3D91-4AD8-B3EB-75EE0CC747F9}" type="pres">
      <dgm:prSet presAssocID="{FD196D1A-E476-4F56-B904-87BEE1D15E78}" presName="textNode" presStyleLbl="node1" presStyleIdx="1" presStyleCnt="7">
        <dgm:presLayoutVars>
          <dgm:bulletEnabled val="1"/>
        </dgm:presLayoutVars>
      </dgm:prSet>
      <dgm:spPr/>
    </dgm:pt>
    <dgm:pt modelId="{B2E445B7-4B13-406B-9839-5BA3AA9430C9}" type="pres">
      <dgm:prSet presAssocID="{264F8716-FE16-4F1D-803A-84F1FCDDBDAC}" presName="sibTrans" presStyleCnt="0"/>
      <dgm:spPr/>
    </dgm:pt>
    <dgm:pt modelId="{37EFA4F2-1E6A-4B8F-A437-8EBBBC069B9D}" type="pres">
      <dgm:prSet presAssocID="{A9F4F35C-38A6-4FBB-9741-42FE734F23AE}" presName="textNode" presStyleLbl="node1" presStyleIdx="2" presStyleCnt="7">
        <dgm:presLayoutVars>
          <dgm:bulletEnabled val="1"/>
        </dgm:presLayoutVars>
      </dgm:prSet>
      <dgm:spPr/>
    </dgm:pt>
    <dgm:pt modelId="{D7726FEE-2E45-4AAC-AFBF-B267BEA1F398}" type="pres">
      <dgm:prSet presAssocID="{D1E3B3C6-111D-4DF3-AD6E-C7C990F045C4}" presName="sibTrans" presStyleCnt="0"/>
      <dgm:spPr/>
    </dgm:pt>
    <dgm:pt modelId="{F9F38373-E10B-4A56-896D-A498372D1BFA}" type="pres">
      <dgm:prSet presAssocID="{E077E254-EF9A-4C1B-A69E-ABA7A1D79885}" presName="textNode" presStyleLbl="node1" presStyleIdx="3" presStyleCnt="7">
        <dgm:presLayoutVars>
          <dgm:bulletEnabled val="1"/>
        </dgm:presLayoutVars>
      </dgm:prSet>
      <dgm:spPr/>
    </dgm:pt>
    <dgm:pt modelId="{899C2E76-C9F2-4C93-BF56-7A7ED282E2FD}" type="pres">
      <dgm:prSet presAssocID="{2EC6CB4C-49A6-4A47-8339-84CC189A592F}" presName="sibTrans" presStyleCnt="0"/>
      <dgm:spPr/>
    </dgm:pt>
    <dgm:pt modelId="{9AC7E44E-5F74-4EC6-8DAC-779E3A4EA90C}" type="pres">
      <dgm:prSet presAssocID="{1ACC143F-B42F-4529-B464-980081AB1462}" presName="textNode" presStyleLbl="node1" presStyleIdx="4" presStyleCnt="7">
        <dgm:presLayoutVars>
          <dgm:bulletEnabled val="1"/>
        </dgm:presLayoutVars>
      </dgm:prSet>
      <dgm:spPr/>
    </dgm:pt>
    <dgm:pt modelId="{3DAD718A-C4DB-4DAF-B0E4-000A284A00BD}" type="pres">
      <dgm:prSet presAssocID="{175EC50E-2FB8-4ADE-A73F-7BC544D46703}" presName="sibTrans" presStyleCnt="0"/>
      <dgm:spPr/>
    </dgm:pt>
    <dgm:pt modelId="{E4DFB6BE-4339-481D-B658-D1E386F56C74}" type="pres">
      <dgm:prSet presAssocID="{8C515B1F-673A-41CF-B857-812CB9FC72A3}" presName="textNode" presStyleLbl="node1" presStyleIdx="5" presStyleCnt="7">
        <dgm:presLayoutVars>
          <dgm:bulletEnabled val="1"/>
        </dgm:presLayoutVars>
      </dgm:prSet>
      <dgm:spPr/>
    </dgm:pt>
    <dgm:pt modelId="{3211173B-E90A-47CD-8141-E958B9630366}" type="pres">
      <dgm:prSet presAssocID="{EEB21B0C-C97E-4EFF-AF03-154D9F9F41C3}" presName="sibTrans" presStyleCnt="0"/>
      <dgm:spPr/>
    </dgm:pt>
    <dgm:pt modelId="{A47AC813-3796-4654-A4A3-412961D82467}" type="pres">
      <dgm:prSet presAssocID="{B33022ED-8574-484A-8E74-559ADC6BC5DA}" presName="textNode" presStyleLbl="node1" presStyleIdx="6" presStyleCnt="7">
        <dgm:presLayoutVars>
          <dgm:bulletEnabled val="1"/>
        </dgm:presLayoutVars>
      </dgm:prSet>
      <dgm:spPr/>
    </dgm:pt>
  </dgm:ptLst>
  <dgm:cxnLst>
    <dgm:cxn modelId="{11381411-579B-4CA5-8685-7A590DAB2231}" srcId="{87650299-BBCD-4497-8B59-481F03A721F2}" destId="{4D9E48DC-C006-4191-AA28-2ADF49168047}" srcOrd="0" destOrd="0" parTransId="{07B63C38-67D4-40DC-B076-E2FB46ECF406}" sibTransId="{3C7B3281-2594-40C5-AC57-90B4E9A78A84}"/>
    <dgm:cxn modelId="{BA969715-8FE9-4B07-B550-AA3553E18E69}" srcId="{87650299-BBCD-4497-8B59-481F03A721F2}" destId="{FD196D1A-E476-4F56-B904-87BEE1D15E78}" srcOrd="1" destOrd="0" parTransId="{31DB6BFF-B74E-40BE-8492-B764EC255DC0}" sibTransId="{264F8716-FE16-4F1D-803A-84F1FCDDBDAC}"/>
    <dgm:cxn modelId="{74FA3F18-5488-4F87-A46D-67470034B5EE}" type="presOf" srcId="{B33022ED-8574-484A-8E74-559ADC6BC5DA}" destId="{A47AC813-3796-4654-A4A3-412961D82467}" srcOrd="0" destOrd="0" presId="urn:microsoft.com/office/officeart/2005/8/layout/hProcess9"/>
    <dgm:cxn modelId="{358A7E18-A51F-4988-B4EE-7BE5987B8FD6}" srcId="{87650299-BBCD-4497-8B59-481F03A721F2}" destId="{E077E254-EF9A-4C1B-A69E-ABA7A1D79885}" srcOrd="3" destOrd="0" parTransId="{9A8C9A28-E9A9-4D7A-8364-8D3FA4A7017B}" sibTransId="{2EC6CB4C-49A6-4A47-8339-84CC189A592F}"/>
    <dgm:cxn modelId="{89DDA61A-A3F6-4FB3-AE92-35925D41C61A}" srcId="{87650299-BBCD-4497-8B59-481F03A721F2}" destId="{A9F4F35C-38A6-4FBB-9741-42FE734F23AE}" srcOrd="2" destOrd="0" parTransId="{5D30170D-AA5A-4578-BF70-8F11C08CD0F2}" sibTransId="{D1E3B3C6-111D-4DF3-AD6E-C7C990F045C4}"/>
    <dgm:cxn modelId="{C0BE622A-2E52-4BAA-91D5-4458AD87B92F}" srcId="{87650299-BBCD-4497-8B59-481F03A721F2}" destId="{1ACC143F-B42F-4529-B464-980081AB1462}" srcOrd="4" destOrd="0" parTransId="{6FCD5B46-5E2C-4E97-B6B9-FCD4FEB3D811}" sibTransId="{175EC50E-2FB8-4ADE-A73F-7BC544D46703}"/>
    <dgm:cxn modelId="{C6460D2E-E767-4A60-BB46-0B60D08DE356}" srcId="{87650299-BBCD-4497-8B59-481F03A721F2}" destId="{8C515B1F-673A-41CF-B857-812CB9FC72A3}" srcOrd="5" destOrd="0" parTransId="{8054E512-56E8-4966-BE69-1BB6575298F1}" sibTransId="{EEB21B0C-C97E-4EFF-AF03-154D9F9F41C3}"/>
    <dgm:cxn modelId="{0DB1D331-0A3E-4066-B480-9EAD1B8A5BA0}" type="presOf" srcId="{8C515B1F-673A-41CF-B857-812CB9FC72A3}" destId="{E4DFB6BE-4339-481D-B658-D1E386F56C74}" srcOrd="0" destOrd="0" presId="urn:microsoft.com/office/officeart/2005/8/layout/hProcess9"/>
    <dgm:cxn modelId="{07BBED96-732E-4F25-AB01-C6C925DBD536}" type="presOf" srcId="{FD196D1A-E476-4F56-B904-87BEE1D15E78}" destId="{F0F48F73-3D91-4AD8-B3EB-75EE0CC747F9}" srcOrd="0" destOrd="0" presId="urn:microsoft.com/office/officeart/2005/8/layout/hProcess9"/>
    <dgm:cxn modelId="{E636F69F-41ED-4D9E-A5E2-8E70CF5F3646}" srcId="{87650299-BBCD-4497-8B59-481F03A721F2}" destId="{B33022ED-8574-484A-8E74-559ADC6BC5DA}" srcOrd="6" destOrd="0" parTransId="{D0865FEF-A8FE-4C5D-AD94-DA9A9308020D}" sibTransId="{CD93790C-F697-437F-81A7-370797952FC9}"/>
    <dgm:cxn modelId="{4E65D3AA-BFF2-40B7-8D8B-57926414E455}" type="presOf" srcId="{A9F4F35C-38A6-4FBB-9741-42FE734F23AE}" destId="{37EFA4F2-1E6A-4B8F-A437-8EBBBC069B9D}" srcOrd="0" destOrd="0" presId="urn:microsoft.com/office/officeart/2005/8/layout/hProcess9"/>
    <dgm:cxn modelId="{5BF3FBB1-DCC3-450A-9AA5-F833D5A1B890}" type="presOf" srcId="{1ACC143F-B42F-4529-B464-980081AB1462}" destId="{9AC7E44E-5F74-4EC6-8DAC-779E3A4EA90C}" srcOrd="0" destOrd="0" presId="urn:microsoft.com/office/officeart/2005/8/layout/hProcess9"/>
    <dgm:cxn modelId="{ECA3D7C2-D2CE-4682-A1DD-85ABD061078A}" type="presOf" srcId="{87650299-BBCD-4497-8B59-481F03A721F2}" destId="{F816A1CE-1C47-4E47-BFBD-7C3E7ED11A5D}" srcOrd="0" destOrd="0" presId="urn:microsoft.com/office/officeart/2005/8/layout/hProcess9"/>
    <dgm:cxn modelId="{0647DBC4-9390-4E54-8C4C-1B8B356F3032}" type="presOf" srcId="{E077E254-EF9A-4C1B-A69E-ABA7A1D79885}" destId="{F9F38373-E10B-4A56-896D-A498372D1BFA}" srcOrd="0" destOrd="0" presId="urn:microsoft.com/office/officeart/2005/8/layout/hProcess9"/>
    <dgm:cxn modelId="{15238CD0-A1E3-4BFC-AE41-893C095E8CC6}" type="presOf" srcId="{4D9E48DC-C006-4191-AA28-2ADF49168047}" destId="{2936771C-C96C-41AD-8EA9-4C834290AD3A}" srcOrd="0" destOrd="0" presId="urn:microsoft.com/office/officeart/2005/8/layout/hProcess9"/>
    <dgm:cxn modelId="{43DD77A0-ED40-48C7-BBC2-41EF03227981}" type="presParOf" srcId="{F816A1CE-1C47-4E47-BFBD-7C3E7ED11A5D}" destId="{0AECC69C-AEC5-477A-8D53-E06CCCB42400}" srcOrd="0" destOrd="0" presId="urn:microsoft.com/office/officeart/2005/8/layout/hProcess9"/>
    <dgm:cxn modelId="{43205C54-5141-4A59-BE18-8DC7A0E61ED0}" type="presParOf" srcId="{F816A1CE-1C47-4E47-BFBD-7C3E7ED11A5D}" destId="{A6A851A9-9785-4F69-A7EE-B0061A13F4A9}" srcOrd="1" destOrd="0" presId="urn:microsoft.com/office/officeart/2005/8/layout/hProcess9"/>
    <dgm:cxn modelId="{B03FAA89-1148-49A0-BECF-522AEB7866E0}" type="presParOf" srcId="{A6A851A9-9785-4F69-A7EE-B0061A13F4A9}" destId="{2936771C-C96C-41AD-8EA9-4C834290AD3A}" srcOrd="0" destOrd="0" presId="urn:microsoft.com/office/officeart/2005/8/layout/hProcess9"/>
    <dgm:cxn modelId="{42F918A6-45D6-4F4D-946B-0BB5FF7172C6}" type="presParOf" srcId="{A6A851A9-9785-4F69-A7EE-B0061A13F4A9}" destId="{1F5F0972-3F6E-4AB8-8C82-2B1C3A23D1B6}" srcOrd="1" destOrd="0" presId="urn:microsoft.com/office/officeart/2005/8/layout/hProcess9"/>
    <dgm:cxn modelId="{9AB23BE9-B3DE-4CCB-8BFA-20FA1DFA7F65}" type="presParOf" srcId="{A6A851A9-9785-4F69-A7EE-B0061A13F4A9}" destId="{F0F48F73-3D91-4AD8-B3EB-75EE0CC747F9}" srcOrd="2" destOrd="0" presId="urn:microsoft.com/office/officeart/2005/8/layout/hProcess9"/>
    <dgm:cxn modelId="{2BDF3EE9-EF46-4721-B93D-40556884D02C}" type="presParOf" srcId="{A6A851A9-9785-4F69-A7EE-B0061A13F4A9}" destId="{B2E445B7-4B13-406B-9839-5BA3AA9430C9}" srcOrd="3" destOrd="0" presId="urn:microsoft.com/office/officeart/2005/8/layout/hProcess9"/>
    <dgm:cxn modelId="{573BF789-C7D7-487A-8A1A-8FBCA11955B6}" type="presParOf" srcId="{A6A851A9-9785-4F69-A7EE-B0061A13F4A9}" destId="{37EFA4F2-1E6A-4B8F-A437-8EBBBC069B9D}" srcOrd="4" destOrd="0" presId="urn:microsoft.com/office/officeart/2005/8/layout/hProcess9"/>
    <dgm:cxn modelId="{EDEFD909-0710-4AD2-8B87-74CCC8E648B8}" type="presParOf" srcId="{A6A851A9-9785-4F69-A7EE-B0061A13F4A9}" destId="{D7726FEE-2E45-4AAC-AFBF-B267BEA1F398}" srcOrd="5" destOrd="0" presId="urn:microsoft.com/office/officeart/2005/8/layout/hProcess9"/>
    <dgm:cxn modelId="{A75AC002-A69D-4EF7-9659-64782DEE2D10}" type="presParOf" srcId="{A6A851A9-9785-4F69-A7EE-B0061A13F4A9}" destId="{F9F38373-E10B-4A56-896D-A498372D1BFA}" srcOrd="6" destOrd="0" presId="urn:microsoft.com/office/officeart/2005/8/layout/hProcess9"/>
    <dgm:cxn modelId="{A26C5ECD-01D5-436F-8A0C-A5EB56CA3427}" type="presParOf" srcId="{A6A851A9-9785-4F69-A7EE-B0061A13F4A9}" destId="{899C2E76-C9F2-4C93-BF56-7A7ED282E2FD}" srcOrd="7" destOrd="0" presId="urn:microsoft.com/office/officeart/2005/8/layout/hProcess9"/>
    <dgm:cxn modelId="{6228C7E6-2D24-4CDD-BDE5-1EBB4A6A7D0A}" type="presParOf" srcId="{A6A851A9-9785-4F69-A7EE-B0061A13F4A9}" destId="{9AC7E44E-5F74-4EC6-8DAC-779E3A4EA90C}" srcOrd="8" destOrd="0" presId="urn:microsoft.com/office/officeart/2005/8/layout/hProcess9"/>
    <dgm:cxn modelId="{09E59A68-5610-4C53-902A-4FDFB378C7C8}" type="presParOf" srcId="{A6A851A9-9785-4F69-A7EE-B0061A13F4A9}" destId="{3DAD718A-C4DB-4DAF-B0E4-000A284A00BD}" srcOrd="9" destOrd="0" presId="urn:microsoft.com/office/officeart/2005/8/layout/hProcess9"/>
    <dgm:cxn modelId="{AE482D9F-9D6C-481D-A0B0-B860140AD2C7}" type="presParOf" srcId="{A6A851A9-9785-4F69-A7EE-B0061A13F4A9}" destId="{E4DFB6BE-4339-481D-B658-D1E386F56C74}" srcOrd="10" destOrd="0" presId="urn:microsoft.com/office/officeart/2005/8/layout/hProcess9"/>
    <dgm:cxn modelId="{A0AAE8CC-09CB-44F3-9050-312AF62782AB}" type="presParOf" srcId="{A6A851A9-9785-4F69-A7EE-B0061A13F4A9}" destId="{3211173B-E90A-47CD-8141-E958B9630366}" srcOrd="11" destOrd="0" presId="urn:microsoft.com/office/officeart/2005/8/layout/hProcess9"/>
    <dgm:cxn modelId="{CCFAF14E-6D4D-4AEA-B604-36631888F523}" type="presParOf" srcId="{A6A851A9-9785-4F69-A7EE-B0061A13F4A9}" destId="{A47AC813-3796-4654-A4A3-412961D82467}" srcOrd="12" destOrd="0" presId="urn:microsoft.com/office/officeart/2005/8/layout/hProcess9"/>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AECC69C-AEC5-477A-8D53-E06CCCB42400}">
      <dsp:nvSpPr>
        <dsp:cNvPr id="0" name=""/>
        <dsp:cNvSpPr/>
      </dsp:nvSpPr>
      <dsp:spPr>
        <a:xfrm>
          <a:off x="671512" y="0"/>
          <a:ext cx="7610475" cy="1009650"/>
        </a:xfrm>
        <a:prstGeom prst="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2936771C-C96C-41AD-8EA9-4C834290AD3A}">
      <dsp:nvSpPr>
        <dsp:cNvPr id="0" name=""/>
        <dsp:cNvSpPr/>
      </dsp:nvSpPr>
      <dsp:spPr>
        <a:xfrm>
          <a:off x="1748" y="302895"/>
          <a:ext cx="1118750" cy="40386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GB" sz="1600" kern="1200"/>
            <a:t>2014</a:t>
          </a:r>
        </a:p>
      </dsp:txBody>
      <dsp:txXfrm>
        <a:off x="21463" y="322610"/>
        <a:ext cx="1079320" cy="364430"/>
      </dsp:txXfrm>
    </dsp:sp>
    <dsp:sp modelId="{F0F48F73-3D91-4AD8-B3EB-75EE0CC747F9}">
      <dsp:nvSpPr>
        <dsp:cNvPr id="0" name=""/>
        <dsp:cNvSpPr/>
      </dsp:nvSpPr>
      <dsp:spPr>
        <a:xfrm>
          <a:off x="1306957" y="302895"/>
          <a:ext cx="1118750" cy="40386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GB" sz="1600" kern="1200"/>
            <a:t>2015</a:t>
          </a:r>
        </a:p>
      </dsp:txBody>
      <dsp:txXfrm>
        <a:off x="1326672" y="322610"/>
        <a:ext cx="1079320" cy="364430"/>
      </dsp:txXfrm>
    </dsp:sp>
    <dsp:sp modelId="{37EFA4F2-1E6A-4B8F-A437-8EBBBC069B9D}">
      <dsp:nvSpPr>
        <dsp:cNvPr id="0" name=""/>
        <dsp:cNvSpPr/>
      </dsp:nvSpPr>
      <dsp:spPr>
        <a:xfrm>
          <a:off x="2612166" y="302895"/>
          <a:ext cx="1118750" cy="40386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GB" sz="1600" kern="1200"/>
            <a:t>2016</a:t>
          </a:r>
        </a:p>
      </dsp:txBody>
      <dsp:txXfrm>
        <a:off x="2631881" y="322610"/>
        <a:ext cx="1079320" cy="364430"/>
      </dsp:txXfrm>
    </dsp:sp>
    <dsp:sp modelId="{F9F38373-E10B-4A56-896D-A498372D1BFA}">
      <dsp:nvSpPr>
        <dsp:cNvPr id="0" name=""/>
        <dsp:cNvSpPr/>
      </dsp:nvSpPr>
      <dsp:spPr>
        <a:xfrm>
          <a:off x="3917374" y="302895"/>
          <a:ext cx="1118750" cy="40386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GB" sz="1600" kern="1200"/>
            <a:t>2017</a:t>
          </a:r>
        </a:p>
      </dsp:txBody>
      <dsp:txXfrm>
        <a:off x="3937089" y="322610"/>
        <a:ext cx="1079320" cy="364430"/>
      </dsp:txXfrm>
    </dsp:sp>
    <dsp:sp modelId="{9AC7E44E-5F74-4EC6-8DAC-779E3A4EA90C}">
      <dsp:nvSpPr>
        <dsp:cNvPr id="0" name=""/>
        <dsp:cNvSpPr/>
      </dsp:nvSpPr>
      <dsp:spPr>
        <a:xfrm>
          <a:off x="5222583" y="302895"/>
          <a:ext cx="1118750" cy="40386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GB" sz="1600" kern="1200"/>
            <a:t>2018</a:t>
          </a:r>
        </a:p>
      </dsp:txBody>
      <dsp:txXfrm>
        <a:off x="5242298" y="322610"/>
        <a:ext cx="1079320" cy="364430"/>
      </dsp:txXfrm>
    </dsp:sp>
    <dsp:sp modelId="{E4DFB6BE-4339-481D-B658-D1E386F56C74}">
      <dsp:nvSpPr>
        <dsp:cNvPr id="0" name=""/>
        <dsp:cNvSpPr/>
      </dsp:nvSpPr>
      <dsp:spPr>
        <a:xfrm>
          <a:off x="6527792" y="302895"/>
          <a:ext cx="1118750" cy="40386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GB" sz="1600" kern="1200"/>
            <a:t>2019</a:t>
          </a:r>
        </a:p>
      </dsp:txBody>
      <dsp:txXfrm>
        <a:off x="6547507" y="322610"/>
        <a:ext cx="1079320" cy="364430"/>
      </dsp:txXfrm>
    </dsp:sp>
    <dsp:sp modelId="{A47AC813-3796-4654-A4A3-412961D82467}">
      <dsp:nvSpPr>
        <dsp:cNvPr id="0" name=""/>
        <dsp:cNvSpPr/>
      </dsp:nvSpPr>
      <dsp:spPr>
        <a:xfrm>
          <a:off x="7833000" y="302895"/>
          <a:ext cx="1118750" cy="403860"/>
        </a:xfrm>
        <a:prstGeom prst="roundRect">
          <a:avLst/>
        </a:prstGeom>
        <a:solidFill>
          <a:schemeClr val="accent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GB" sz="1600" kern="1200"/>
            <a:t>2020</a:t>
          </a:r>
        </a:p>
      </dsp:txBody>
      <dsp:txXfrm>
        <a:off x="7852715" y="322610"/>
        <a:ext cx="1079320" cy="364430"/>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Cochrane">
      <a:dk1>
        <a:srgbClr val="000000"/>
      </a:dk1>
      <a:lt1>
        <a:srgbClr val="FFFFFF"/>
      </a:lt1>
      <a:dk2>
        <a:srgbClr val="002D64"/>
      </a:dk2>
      <a:lt2>
        <a:srgbClr val="962D91"/>
      </a:lt2>
      <a:accent1>
        <a:srgbClr val="002D64"/>
      </a:accent1>
      <a:accent2>
        <a:srgbClr val="962D91"/>
      </a:accent2>
      <a:accent3>
        <a:srgbClr val="696969"/>
      </a:accent3>
      <a:accent4>
        <a:srgbClr val="999999"/>
      </a:accent4>
      <a:accent5>
        <a:srgbClr val="CCCCCC"/>
      </a:accent5>
      <a:accent6>
        <a:srgbClr val="E6E6E6"/>
      </a:accent6>
      <a:hlink>
        <a:srgbClr val="002D64"/>
      </a:hlink>
      <a:folHlink>
        <a:srgbClr val="002D64"/>
      </a:folHlink>
    </a:clrScheme>
    <a:fontScheme name="Cochrane">
      <a:majorFont>
        <a:latin typeface="Source Sans Pro"/>
        <a:ea typeface=""/>
        <a:cs typeface=""/>
      </a:majorFont>
      <a:minorFont>
        <a:latin typeface="Source Sans Pro Semibol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8E135-225C-C64E-A3CF-608B3F6C0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C:\Users\lbinder\Documents\Custom Office Templates\Lucie Cochrane template.dotx</Template>
  <TotalTime>8</TotalTime>
  <Pages>11</Pages>
  <Words>3105</Words>
  <Characters>17703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Lucie Binder</dc:creator>
  <cp:lastModifiedBy>Lucie Binder</cp:lastModifiedBy>
  <cp:revision>3</cp:revision>
  <cp:lastPrinted>2019-02-19T16:12:00Z</cp:lastPrinted>
  <dcterms:created xsi:type="dcterms:W3CDTF">2020-01-17T10:31:00Z</dcterms:created>
  <dcterms:modified xsi:type="dcterms:W3CDTF">2020-01-17T10:39:00Z</dcterms:modified>
</cp:coreProperties>
</file>